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5EF9" w14:textId="77777777" w:rsidR="00CA7670" w:rsidRDefault="006A1BD7" w:rsidP="006A1BD7">
      <w:pPr>
        <w:jc w:val="center"/>
        <w:rPr>
          <w:b/>
          <w:bCs/>
          <w:iCs/>
          <w:color w:val="17365D" w:themeColor="text2" w:themeShade="BF"/>
          <w:sz w:val="36"/>
          <w:szCs w:val="36"/>
        </w:rPr>
      </w:pPr>
      <w:r w:rsidRPr="006A1BD7">
        <w:rPr>
          <w:b/>
          <w:bCs/>
          <w:iCs/>
          <w:color w:val="17365D" w:themeColor="text2" w:themeShade="BF"/>
          <w:sz w:val="36"/>
          <w:szCs w:val="36"/>
        </w:rPr>
        <w:t xml:space="preserve">Scheda per la raccolta di manifestazioni </w:t>
      </w:r>
      <w:proofErr w:type="gramStart"/>
      <w:r w:rsidRPr="006A1BD7">
        <w:rPr>
          <w:b/>
          <w:bCs/>
          <w:iCs/>
          <w:color w:val="17365D" w:themeColor="text2" w:themeShade="BF"/>
          <w:sz w:val="36"/>
          <w:szCs w:val="36"/>
        </w:rPr>
        <w:t xml:space="preserve">di </w:t>
      </w:r>
      <w:proofErr w:type="gramEnd"/>
      <w:r w:rsidRPr="006A1BD7">
        <w:rPr>
          <w:b/>
          <w:bCs/>
          <w:iCs/>
          <w:color w:val="17365D" w:themeColor="text2" w:themeShade="BF"/>
          <w:sz w:val="36"/>
          <w:szCs w:val="36"/>
        </w:rPr>
        <w:t>interesse</w:t>
      </w:r>
      <w:r w:rsidR="00A25710">
        <w:rPr>
          <w:b/>
          <w:bCs/>
          <w:iCs/>
          <w:color w:val="17365D" w:themeColor="text2" w:themeShade="BF"/>
          <w:sz w:val="36"/>
          <w:szCs w:val="36"/>
        </w:rPr>
        <w:t xml:space="preserve"> per PNR</w:t>
      </w:r>
    </w:p>
    <w:p w14:paraId="448D44E8" w14:textId="77777777" w:rsidR="006A1BD7" w:rsidRDefault="006A1BD7" w:rsidP="006A1BD7">
      <w:pPr>
        <w:jc w:val="center"/>
        <w:rPr>
          <w:b/>
          <w:bCs/>
          <w:iCs/>
          <w:color w:val="17365D" w:themeColor="text2" w:themeShade="BF"/>
          <w:sz w:val="36"/>
          <w:szCs w:val="36"/>
        </w:rPr>
      </w:pPr>
    </w:p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2767"/>
        <w:gridCol w:w="2697"/>
      </w:tblGrid>
      <w:tr w:rsidR="006A1BD7" w:rsidRPr="006A1BD7" w14:paraId="67F5D52A" w14:textId="77777777">
        <w:trPr>
          <w:trHeight w:val="525"/>
        </w:trPr>
        <w:tc>
          <w:tcPr>
            <w:tcW w:w="10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9958EF" w14:textId="77777777" w:rsidR="006A1BD7" w:rsidRPr="006A1BD7" w:rsidRDefault="00467812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Riga Europe 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in a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changing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 world, Colonna (E)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quality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 xml:space="preserve"> in ricerca: uguali opportunità per tutti nelle istituzioni e nelle attività di ricerca</w:t>
            </w:r>
          </w:p>
        </w:tc>
      </w:tr>
      <w:tr w:rsidR="006A1BD7" w:rsidRPr="006A1BD7" w14:paraId="5CA162D9" w14:textId="77777777">
        <w:trPr>
          <w:trHeight w:val="702"/>
        </w:trPr>
        <w:tc>
          <w:tcPr>
            <w:tcW w:w="1012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F8E56" w14:textId="2152A2E1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it-IT"/>
              </w:rPr>
              <w:t>Descrizione</w:t>
            </w:r>
          </w:p>
          <w:p w14:paraId="53047087" w14:textId="7832913E" w:rsidR="00AB5ECA" w:rsidRDefault="00A05D14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La presenza femminile a tutti i livelli della formazione scientifica è ormai acclarata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anche da fatto che</w:t>
            </w:r>
            <w:proofErr w:type="gramStart"/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 </w:t>
            </w:r>
            <w:proofErr w:type="gramEnd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le donne 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hanno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superato gli uomini per numer</w:t>
            </w:r>
            <w:r w:rsidR="00A6090F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o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di dotto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rati. Le donne però scompaiono </w:t>
            </w:r>
            <w:proofErr w:type="gramStart"/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a partire dal</w:t>
            </w:r>
            <w:proofErr w:type="gramEnd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livello di ricercatori 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sino a quelli apicali 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(vedi “forbice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delle carriere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” europea).</w:t>
            </w:r>
          </w:p>
          <w:p w14:paraId="24490BB3" w14:textId="0EE4E959" w:rsidR="00A05D14" w:rsidRDefault="00A05D14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In tale ambito dare sosteg</w:t>
            </w:r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no</w:t>
            </w:r>
            <w:proofErr w:type="gramStart"/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 </w:t>
            </w:r>
            <w:proofErr w:type="gramEnd"/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alle donne che intraprendon</w:t>
            </w: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o la carriera </w:t>
            </w:r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risulta fondamentale in un progetto di riequilibrio della presenza femminile. In contemporanea sostenere le donne significa 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ridurre le</w:t>
            </w:r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 situazioni </w:t>
            </w:r>
            <w:r w:rsidR="00C95ED1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generali di </w:t>
            </w:r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discriminazione come quelle </w:t>
            </w:r>
            <w:r w:rsidR="00D55F66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parentali</w:t>
            </w:r>
            <w:r w:rsidR="00561C72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.</w:t>
            </w:r>
          </w:p>
          <w:p w14:paraId="6C5DCB79" w14:textId="77777777" w:rsidR="00080AFF" w:rsidRDefault="00AB5ECA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Le proposte avanzate seguono le indicazioni del documento </w:t>
            </w:r>
            <w:proofErr w:type="gramStart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 xml:space="preserve">della </w:t>
            </w:r>
            <w:proofErr w:type="gramEnd"/>
            <w:r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EC:</w:t>
            </w:r>
          </w:p>
          <w:p w14:paraId="6553D864" w14:textId="77777777" w:rsidR="006A1BD7" w:rsidRPr="00080AFF" w:rsidRDefault="00080AFF" w:rsidP="0046781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</w:pPr>
            <w:r w:rsidRPr="00080AFF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http://</w:t>
            </w:r>
            <w:proofErr w:type="gramStart"/>
            <w:r w:rsidRPr="00080AFF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ec.europa.eu</w:t>
            </w:r>
            <w:proofErr w:type="gramEnd"/>
            <w:r w:rsidRPr="00080AFF">
              <w:rPr>
                <w:rFonts w:ascii="Calibri" w:eastAsia="Times New Roman" w:hAnsi="Calibri" w:cs="Arial"/>
                <w:i/>
                <w:iCs/>
                <w:color w:val="FFFFFF"/>
                <w:kern w:val="24"/>
                <w:sz w:val="24"/>
                <w:szCs w:val="24"/>
                <w:lang w:eastAsia="it-IT"/>
              </w:rPr>
              <w:t>/research/science-society/document_library/pdf_06/structural-changes-final-report_en.pdf</w:t>
            </w:r>
          </w:p>
        </w:tc>
      </w:tr>
      <w:tr w:rsidR="00A01250" w:rsidRPr="006A1BD7" w14:paraId="2EC09EA6" w14:textId="77777777" w:rsidTr="00833D40">
        <w:trPr>
          <w:trHeight w:val="405"/>
        </w:trPr>
        <w:tc>
          <w:tcPr>
            <w:tcW w:w="4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3659F59A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Obiettivo specifico</w:t>
            </w:r>
          </w:p>
        </w:tc>
        <w:tc>
          <w:tcPr>
            <w:tcW w:w="2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342FD576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Risultato atteso</w:t>
            </w: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2A1CD268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Indicatore</w:t>
            </w:r>
          </w:p>
        </w:tc>
      </w:tr>
      <w:tr w:rsidR="00A01250" w:rsidRPr="006A1BD7" w14:paraId="22057493" w14:textId="77777777" w:rsidTr="00833D40">
        <w:trPr>
          <w:trHeight w:val="1515"/>
        </w:trPr>
        <w:tc>
          <w:tcPr>
            <w:tcW w:w="4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59CCC513" w14:textId="3E953EC6" w:rsidR="006A1BD7" w:rsidRPr="00207B73" w:rsidRDefault="006A1BD7" w:rsidP="00026B6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1. </w:t>
            </w:r>
            <w:r w:rsidR="000C3A0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Sostegno al personale precario</w:t>
            </w:r>
            <w:r w:rsidR="007D0DE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negli enti di ricerca</w:t>
            </w:r>
            <w:r w:rsidR="000C3A0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. </w:t>
            </w:r>
            <w:r w:rsidR="00001CE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Consentire il prolungamento di tutte le forme di contratti /assegni a tempo determinato interrotti per maternità/</w:t>
            </w:r>
            <w:r w:rsidR="00026B64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congedo parentale</w:t>
            </w:r>
            <w:r w:rsidR="00001CE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o malattie </w:t>
            </w:r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o </w:t>
            </w:r>
            <w:proofErr w:type="gramStart"/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congedi</w:t>
            </w:r>
            <w:proofErr w:type="gramEnd"/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familiari</w:t>
            </w:r>
            <w:r w:rsidR="007D0DE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,</w:t>
            </w:r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001CE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al di fuori de</w:t>
            </w:r>
            <w:r w:rsidR="00026B64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i tempi originali dei contratti </w:t>
            </w:r>
            <w:r w:rsidR="007D0DE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e </w:t>
            </w:r>
            <w:r w:rsidR="00026B64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su fondi che non gravino sui gruppi di ricerca.</w:t>
            </w:r>
          </w:p>
        </w:tc>
        <w:tc>
          <w:tcPr>
            <w:tcW w:w="2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044F6CC0" w14:textId="515F8EEA" w:rsidR="00C52B70" w:rsidRDefault="00080AFF" w:rsidP="000C3A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</w:t>
            </w:r>
            <w:r w:rsidR="000C3A0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. </w:t>
            </w:r>
            <w:r w:rsidR="007D0DE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Ridu</w:t>
            </w:r>
            <w:r w:rsidR="002C6DAA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rre</w:t>
            </w:r>
            <w:r w:rsidR="007D0DE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la perdita di ricercatrici di eccellenza</w:t>
            </w:r>
            <w:r w:rsidR="002C6DAA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. </w:t>
            </w:r>
            <w:proofErr w:type="gramStart"/>
            <w:r w:rsidR="002C6DAA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R</w:t>
            </w:r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iconoscimento del tempo </w:t>
            </w:r>
            <w:r w:rsidR="007D0DE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di riproduzione e </w:t>
            </w:r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di cura come non discri</w:t>
            </w:r>
            <w:r w:rsidR="007258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minante nel processo lavorativo</w:t>
            </w:r>
            <w:r w:rsidR="00C52B7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  <w:proofErr w:type="gramEnd"/>
          </w:p>
          <w:p w14:paraId="39F8CBE9" w14:textId="77777777" w:rsidR="007D0DEC" w:rsidRPr="006A1BD7" w:rsidRDefault="007D0DEC" w:rsidP="000C3A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</w:p>
          <w:p w14:paraId="675C7AE2" w14:textId="01DCD7F5" w:rsidR="006A1BD7" w:rsidRPr="00080AFF" w:rsidRDefault="006A1BD7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7E95F955" w14:textId="29A57A73" w:rsidR="002C6DAA" w:rsidRDefault="006A1BD7" w:rsidP="00C52B70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proofErr w:type="gramStart"/>
            <w:r w:rsidR="002C6DAA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Numero</w:t>
            </w:r>
            <w:proofErr w:type="gramEnd"/>
            <w:r w:rsidR="002C6DAA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di contratti prolungati.</w:t>
            </w:r>
          </w:p>
          <w:p w14:paraId="550E55FC" w14:textId="4C574C91" w:rsidR="006A1BD7" w:rsidRPr="006A1BD7" w:rsidRDefault="006A1BD7" w:rsidP="00C52B7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  <w:tr w:rsidR="00A01250" w:rsidRPr="006A1BD7" w14:paraId="79E17B78" w14:textId="77777777" w:rsidTr="00833D40">
        <w:trPr>
          <w:trHeight w:val="1515"/>
        </w:trPr>
        <w:tc>
          <w:tcPr>
            <w:tcW w:w="4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6141AD16" w14:textId="467FFBDF" w:rsidR="006A1BD7" w:rsidRDefault="006A1BD7" w:rsidP="000C429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2. 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Sostenere lo svil</w:t>
            </w:r>
            <w:r w:rsidR="007258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uppo professionale delle donne,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in particolare </w:t>
            </w:r>
            <w:r w:rsidR="007258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di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coloro che hanno</w:t>
            </w:r>
            <w:proofErr w:type="gramEnd"/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avuto interruzioni di carriera per maternità e/o malattie</w:t>
            </w:r>
            <w:r w:rsidR="007258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</w:p>
          <w:p w14:paraId="6748AFED" w14:textId="49B3B81A" w:rsidR="000C429B" w:rsidRPr="00725850" w:rsidRDefault="00725850" w:rsidP="00EC585F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Introdurre misure specifiche per il r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eintegro nel lavoro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e </w:t>
            </w:r>
            <w:r w:rsidR="0037032C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a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EC585F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sostegno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29796E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del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l’attività di ricerca.</w:t>
            </w:r>
            <w:proofErr w:type="gramEnd"/>
          </w:p>
        </w:tc>
        <w:tc>
          <w:tcPr>
            <w:tcW w:w="2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6A9200F8" w14:textId="21A86534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r w:rsidR="00E84D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Rafforzam</w:t>
            </w:r>
            <w:r w:rsidR="0072585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ento del profilo professionale </w:t>
            </w:r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e delle potenzialità di leadership </w:t>
            </w:r>
            <w:proofErr w:type="gramStart"/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delle</w:t>
            </w:r>
            <w:proofErr w:type="gramEnd"/>
            <w:r w:rsidR="000C429B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donne.</w:t>
            </w:r>
          </w:p>
          <w:p w14:paraId="7E3C1D2E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63386DE9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1.</w:t>
            </w:r>
            <w:proofErr w:type="gramStart"/>
            <w:r w:rsidR="00E84D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Incremento</w:t>
            </w:r>
            <w:proofErr w:type="gramEnd"/>
            <w:r w:rsidR="00E84D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del numero di donne negli organismi decisionali degli enti</w:t>
            </w:r>
          </w:p>
          <w:p w14:paraId="06DD7BC2" w14:textId="77777777" w:rsidR="006A1BD7" w:rsidRPr="006A1BD7" w:rsidRDefault="006A1BD7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C429B" w:rsidRPr="006A1BD7" w14:paraId="2C39E62A" w14:textId="77777777">
        <w:trPr>
          <w:trHeight w:val="689"/>
        </w:trPr>
        <w:tc>
          <w:tcPr>
            <w:tcW w:w="10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0CD7BC4D" w14:textId="5F335810" w:rsidR="000C429B" w:rsidRPr="006A1BD7" w:rsidRDefault="000C429B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Azioni </w:t>
            </w:r>
          </w:p>
          <w:p w14:paraId="192F0187" w14:textId="465BB75B" w:rsidR="000C429B" w:rsidRDefault="007436EA" w:rsidP="002871E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Gli obiettivi presentati diventano parte integrante dei programmi </w:t>
            </w:r>
            <w:r w:rsidR="002871E5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di sviluppo umano </w:t>
            </w:r>
            <w:proofErr w:type="gramStart"/>
            <w:r w:rsidR="002871E5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degli</w:t>
            </w:r>
            <w:proofErr w:type="gramEnd"/>
            <w:r w:rsidR="002871E5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enti e dei piani di azioni positive. I dirigenti delle risorse umane e i </w:t>
            </w:r>
            <w:proofErr w:type="gramStart"/>
            <w:r w:rsidR="002871E5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componenti</w:t>
            </w:r>
            <w:proofErr w:type="gramEnd"/>
            <w:r w:rsidR="002871E5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dei  CUG definiranno </w:t>
            </w:r>
            <w:r w:rsidR="00EB7EF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le </w:t>
            </w:r>
            <w:r w:rsidR="00F13B22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modalità di implementazione</w:t>
            </w:r>
            <w:bookmarkStart w:id="0" w:name="_GoBack"/>
            <w:bookmarkEnd w:id="0"/>
            <w:r w:rsidR="002871E5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</w:p>
          <w:p w14:paraId="4B5F9091" w14:textId="405406A3" w:rsidR="00CC4AC8" w:rsidRPr="002871E5" w:rsidRDefault="00CC4AC8" w:rsidP="00CC4AC8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Il MIUR introduce fondi specifici per il prolungamento dei contratti</w:t>
            </w:r>
            <w:proofErr w:type="gramStart"/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.</w:t>
            </w:r>
            <w:proofErr w:type="gramEnd"/>
          </w:p>
        </w:tc>
      </w:tr>
      <w:tr w:rsidR="000C429B" w:rsidRPr="006A1BD7" w14:paraId="3F30B6A4" w14:textId="77777777">
        <w:trPr>
          <w:trHeight w:val="752"/>
        </w:trPr>
        <w:tc>
          <w:tcPr>
            <w:tcW w:w="10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70" w:type="dxa"/>
              <w:bottom w:w="72" w:type="dxa"/>
              <w:right w:w="144" w:type="dxa"/>
            </w:tcMar>
          </w:tcPr>
          <w:p w14:paraId="443FAAC8" w14:textId="77777777" w:rsidR="000C429B" w:rsidRPr="006A1BD7" w:rsidRDefault="000C429B" w:rsidP="006A1B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6A1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Risorse umane e finanziarie</w:t>
            </w:r>
          </w:p>
          <w:p w14:paraId="5987861C" w14:textId="241374C6" w:rsidR="000C429B" w:rsidRPr="002D5C9F" w:rsidRDefault="000C429B" w:rsidP="006A1BD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Per </w:t>
            </w:r>
            <w:r w:rsidRPr="006A1BD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la realizzazione delle suddette azioni 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sono richieste risorse </w:t>
            </w:r>
            <w:r w:rsidR="007436EA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finanziare adeguate da definire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in funzione dei processi di reintegro </w:t>
            </w:r>
            <w:proofErr w:type="gramStart"/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>delle</w:t>
            </w:r>
            <w:proofErr w:type="gramEnd"/>
            <w:r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  <w:lang w:eastAsia="it-IT"/>
              </w:rPr>
              <w:t xml:space="preserve"> persone.</w:t>
            </w:r>
          </w:p>
        </w:tc>
      </w:tr>
    </w:tbl>
    <w:p w14:paraId="4ADB7C95" w14:textId="77777777" w:rsidR="006A1BD7" w:rsidRPr="006A1BD7" w:rsidRDefault="006A1BD7" w:rsidP="006A1BD7">
      <w:pPr>
        <w:jc w:val="center"/>
        <w:rPr>
          <w:color w:val="17365D" w:themeColor="text2" w:themeShade="BF"/>
          <w:sz w:val="36"/>
          <w:szCs w:val="36"/>
        </w:rPr>
      </w:pPr>
    </w:p>
    <w:sectPr w:rsidR="006A1BD7" w:rsidRPr="006A1BD7" w:rsidSect="00CA7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BB"/>
    <w:rsid w:val="00001CE7"/>
    <w:rsid w:val="00026B64"/>
    <w:rsid w:val="00080AFF"/>
    <w:rsid w:val="000C3A0B"/>
    <w:rsid w:val="000C429B"/>
    <w:rsid w:val="00207B73"/>
    <w:rsid w:val="00210544"/>
    <w:rsid w:val="0026757C"/>
    <w:rsid w:val="00272E57"/>
    <w:rsid w:val="002871E5"/>
    <w:rsid w:val="0029796E"/>
    <w:rsid w:val="002C6DAA"/>
    <w:rsid w:val="002D40A2"/>
    <w:rsid w:val="002D5C9F"/>
    <w:rsid w:val="0037032C"/>
    <w:rsid w:val="00390B78"/>
    <w:rsid w:val="0044034D"/>
    <w:rsid w:val="00467812"/>
    <w:rsid w:val="00561C72"/>
    <w:rsid w:val="006A1BD7"/>
    <w:rsid w:val="00725850"/>
    <w:rsid w:val="007436EA"/>
    <w:rsid w:val="007D0DEC"/>
    <w:rsid w:val="00833D40"/>
    <w:rsid w:val="009F77B2"/>
    <w:rsid w:val="00A01250"/>
    <w:rsid w:val="00A05D14"/>
    <w:rsid w:val="00A25710"/>
    <w:rsid w:val="00A6090F"/>
    <w:rsid w:val="00AA30BB"/>
    <w:rsid w:val="00AB5ECA"/>
    <w:rsid w:val="00C52B70"/>
    <w:rsid w:val="00C95ED1"/>
    <w:rsid w:val="00CA7670"/>
    <w:rsid w:val="00CC4AC8"/>
    <w:rsid w:val="00D55F66"/>
    <w:rsid w:val="00E84D97"/>
    <w:rsid w:val="00EA32A4"/>
    <w:rsid w:val="00EB7EF0"/>
    <w:rsid w:val="00EC585F"/>
    <w:rsid w:val="00F13B22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821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6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1250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6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1250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computer</dc:creator>
  <cp:lastModifiedBy>Maria Rosaria Masullo</cp:lastModifiedBy>
  <cp:revision>18</cp:revision>
  <dcterms:created xsi:type="dcterms:W3CDTF">2013-12-03T22:45:00Z</dcterms:created>
  <dcterms:modified xsi:type="dcterms:W3CDTF">2013-12-04T15:48:00Z</dcterms:modified>
</cp:coreProperties>
</file>