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F4FEF04" w14:textId="77777777" w:rsidR="00D14624" w:rsidRPr="00D14624" w:rsidRDefault="00CA7BD8" w:rsidP="00600BEB">
      <w:pPr>
        <w:jc w:val="center"/>
        <w:rPr>
          <w:rFonts w:ascii="Times New Roman" w:hAnsi="Times New Roman" w:cs="Times New Roman"/>
          <w:b/>
          <w:sz w:val="28"/>
          <w:szCs w:val="28"/>
        </w:rPr>
      </w:pPr>
      <w:r w:rsidRPr="00D14624">
        <w:rPr>
          <w:rFonts w:ascii="Times New Roman" w:hAnsi="Times New Roman" w:cs="Times New Roman"/>
          <w:b/>
          <w:sz w:val="28"/>
          <w:szCs w:val="28"/>
        </w:rPr>
        <w:t xml:space="preserve">Relazione sull'attuazione dei principi di parità, pari opportunità, benessere </w:t>
      </w:r>
    </w:p>
    <w:p w14:paraId="08911A9D" w14:textId="77777777" w:rsidR="00CA7BD8" w:rsidRPr="00D14624" w:rsidRDefault="00CA7BD8" w:rsidP="00600BEB">
      <w:pPr>
        <w:jc w:val="center"/>
        <w:rPr>
          <w:rFonts w:ascii="Times New Roman" w:hAnsi="Times New Roman" w:cs="Times New Roman"/>
          <w:b/>
          <w:sz w:val="28"/>
          <w:szCs w:val="28"/>
        </w:rPr>
      </w:pPr>
      <w:r w:rsidRPr="00D14624">
        <w:rPr>
          <w:rFonts w:ascii="Times New Roman" w:hAnsi="Times New Roman" w:cs="Times New Roman"/>
          <w:b/>
          <w:sz w:val="28"/>
          <w:szCs w:val="28"/>
        </w:rPr>
        <w:t>organizzativo e di contrasto alle discriminazioni e alle violenze morali e psicologiche nell’INFN relativa al periodo 2011-2015,</w:t>
      </w:r>
    </w:p>
    <w:p w14:paraId="41B6A851" w14:textId="77777777" w:rsidR="00CA7BD8" w:rsidRPr="00D14624" w:rsidRDefault="00CA7BD8" w:rsidP="00600BEB">
      <w:pPr>
        <w:jc w:val="center"/>
        <w:rPr>
          <w:rFonts w:ascii="Times New Roman" w:hAnsi="Times New Roman" w:cs="Times New Roman"/>
          <w:b/>
          <w:sz w:val="28"/>
          <w:szCs w:val="28"/>
        </w:rPr>
      </w:pPr>
      <w:r w:rsidRPr="00D14624">
        <w:rPr>
          <w:rFonts w:ascii="Times New Roman" w:hAnsi="Times New Roman" w:cs="Times New Roman"/>
          <w:b/>
          <w:sz w:val="28"/>
          <w:szCs w:val="28"/>
        </w:rPr>
        <w:t>a cura  del Comitato Unico di Garanzia (CUG).</w:t>
      </w:r>
    </w:p>
    <w:p w14:paraId="1763F682" w14:textId="77777777" w:rsidR="00CA7BD8" w:rsidRPr="00D14624" w:rsidRDefault="00CA7BD8" w:rsidP="00600BEB">
      <w:pPr>
        <w:rPr>
          <w:rFonts w:ascii="Times New Roman" w:hAnsi="Times New Roman" w:cs="Times New Roman"/>
          <w:b/>
        </w:rPr>
      </w:pPr>
    </w:p>
    <w:p w14:paraId="70F48CD9" w14:textId="77777777" w:rsidR="00CA7BD8" w:rsidRPr="00D14624" w:rsidRDefault="00CA7BD8" w:rsidP="00600BEB">
      <w:pPr>
        <w:rPr>
          <w:rFonts w:ascii="Times New Roman" w:hAnsi="Times New Roman" w:cs="Times New Roman"/>
        </w:rPr>
      </w:pPr>
      <w:r w:rsidRPr="00D14624">
        <w:rPr>
          <w:rFonts w:ascii="Times New Roman" w:hAnsi="Times New Roman" w:cs="Times New Roman"/>
          <w:b/>
        </w:rPr>
        <w:t>Premessa</w:t>
      </w:r>
      <w:r w:rsidRPr="00D14624">
        <w:rPr>
          <w:rFonts w:ascii="Times New Roman" w:hAnsi="Times New Roman" w:cs="Times New Roman"/>
        </w:rPr>
        <w:t xml:space="preserve"> </w:t>
      </w:r>
    </w:p>
    <w:p w14:paraId="70CC66CD" w14:textId="77777777" w:rsidR="00CA7BD8" w:rsidRPr="002025B6" w:rsidRDefault="00CA7BD8" w:rsidP="00600BEB">
      <w:pPr>
        <w:rPr>
          <w:rFonts w:ascii="Times New Roman" w:hAnsi="Times New Roman" w:cs="Times New Roman"/>
          <w:spacing w:val="-10"/>
        </w:rPr>
      </w:pPr>
    </w:p>
    <w:p w14:paraId="6C90BDFB"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spacing w:val="-10"/>
        </w:rPr>
        <w:t xml:space="preserve">L'INFN si impegna per statuto a garantire parità e pari opportunità nel trattamento delle lavoratrici e dei lavoratori, l'assenza di qualunque forma di discriminazione, diretta e indiretta, nonché il benessere di chi lavora. </w:t>
      </w:r>
    </w:p>
    <w:p w14:paraId="07D53B9A"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spacing w:val="-10"/>
        </w:rPr>
        <w:t>La presente relazione, redatta per legge</w:t>
      </w:r>
      <w:r w:rsidRPr="002025B6">
        <w:rPr>
          <w:rStyle w:val="Rimandonotaapidipagina"/>
          <w:rFonts w:ascii="Times New Roman" w:hAnsi="Times New Roman" w:cs="Times New Roman"/>
          <w:spacing w:val="-10"/>
        </w:rPr>
        <w:footnoteReference w:id="1"/>
      </w:r>
      <w:r w:rsidRPr="002025B6">
        <w:rPr>
          <w:rFonts w:ascii="Times New Roman" w:hAnsi="Times New Roman" w:cs="Times New Roman"/>
          <w:spacing w:val="-10"/>
        </w:rPr>
        <w:t xml:space="preserve"> a cura del CUG, ha l'obiettivo di fare il punto sull'attuazione dei principi di parità, pari opportunità, benessere organizzativo e di contrasto alle discriminazioni e alle violenze morali e psicologiche nei luoghi di lavoro. Il CUG, nel redigere questa relazione, che va trasmessa ai vertici politici e amministrativi dell'INFN, si avvale di dati e informazioni fornite dall’Istituto e delle relazioni redatte dall’Istituto ai sensi della Direttiva Ministeriale 23 maggio 2007 (“Misure per realizzare parità e pari opportunità tra uomini e donne nelle amministrazioni pubbliche”).</w:t>
      </w:r>
    </w:p>
    <w:p w14:paraId="1A5C2856"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spacing w:val="-10"/>
        </w:rPr>
        <w:t>Il CUG dell’INFN nasce il 14 aprile 2011 in sostituzione del precedente Comitato di Pari Opportunità (CPO) in virtù della legge 04/11/2010 n. 183 “Collegato al lavoro” art. 21 e in base alle linee guida Direttiva PCdM del 04/03/2011. I “Comitati unici di garanzia per le pari opportunità, la valorizzazione del benessere di chi lavora e contro le discriminazioni” assumono tutte le funzioni che la legge e i contratti collettivi attribuivano ai Comitati per le Pari Opportunità e ai Comitati paritetici sul fenomeno del mobbing.</w:t>
      </w:r>
    </w:p>
    <w:p w14:paraId="5C843738"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spacing w:val="-10"/>
        </w:rPr>
        <w:t>Con l'istituzione dei CUG, ai quali vengono assegnati nuovi e più ampi compiti propositivi, consultivi e di verifica</w:t>
      </w:r>
      <w:r w:rsidRPr="002025B6">
        <w:rPr>
          <w:rFonts w:ascii="Times New Roman" w:hAnsi="Times New Roman" w:cs="Times New Roman"/>
          <w:spacing w:val="-10"/>
          <w:vertAlign w:val="superscript"/>
        </w:rPr>
        <w:t>1</w:t>
      </w:r>
      <w:r w:rsidRPr="002025B6">
        <w:rPr>
          <w:rFonts w:ascii="Times New Roman" w:hAnsi="Times New Roman" w:cs="Times New Roman"/>
          <w:spacing w:val="-10"/>
        </w:rPr>
        <w:t xml:space="preserve">, </w:t>
      </w:r>
      <w:r w:rsidRPr="002025B6">
        <w:rPr>
          <w:rFonts w:ascii="Times New Roman" w:hAnsi="Times New Roman" w:cs="Times New Roman"/>
          <w:i/>
          <w:spacing w:val="-10"/>
        </w:rPr>
        <w:t>i concetti di parità, di pari opportunità e di benessere organizzativo</w:t>
      </w:r>
      <w:r w:rsidRPr="002025B6">
        <w:rPr>
          <w:rFonts w:ascii="Times New Roman" w:hAnsi="Times New Roman" w:cs="Times New Roman"/>
          <w:spacing w:val="-10"/>
        </w:rPr>
        <w:t xml:space="preserve"> diventano per la prima volta, in linea con le direttive europee, un principio generale di riferimento alla base del sistema di valutazione delle performance organizzative delle amministrazioni pubbliche.</w:t>
      </w:r>
    </w:p>
    <w:p w14:paraId="5747403A"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spacing w:val="-10"/>
        </w:rPr>
        <w:t>Il presente documento, stilato a chiusura del primo mandato del Comitato, si articola in quattro paragrafi: nel primo e nel secondo sono rispettivamente discussi lo stato di attuazione delle misure di parità e lo stato del personale; nel terzo è riassunta l’attività della Consigliera di Fiducia; nel</w:t>
      </w:r>
      <w:r w:rsidR="00D14624" w:rsidRPr="002025B6">
        <w:rPr>
          <w:rFonts w:ascii="Times New Roman" w:hAnsi="Times New Roman" w:cs="Times New Roman"/>
          <w:spacing w:val="-10"/>
        </w:rPr>
        <w:t xml:space="preserve"> quarto si riportano le aree di </w:t>
      </w:r>
      <w:r w:rsidRPr="002025B6">
        <w:rPr>
          <w:rFonts w:ascii="Times New Roman" w:hAnsi="Times New Roman" w:cs="Times New Roman"/>
          <w:spacing w:val="-10"/>
        </w:rPr>
        <w:t>intervento del Piano Triennale di Azioni Positive (PTAP) 2014-2016 e si evidenziano le raccomandazioni, si riporta infine lo stato di attuazione del PTAP 2011-2013.</w:t>
      </w:r>
    </w:p>
    <w:p w14:paraId="6377C596" w14:textId="77777777" w:rsidR="00CA7BD8" w:rsidRPr="002025B6" w:rsidRDefault="00CA7BD8" w:rsidP="000839E7">
      <w:pPr>
        <w:jc w:val="both"/>
        <w:rPr>
          <w:rFonts w:ascii="Times New Roman" w:hAnsi="Times New Roman" w:cs="Times New Roman"/>
          <w:spacing w:val="-10"/>
        </w:rPr>
      </w:pPr>
    </w:p>
    <w:p w14:paraId="04E40781" w14:textId="77777777" w:rsidR="00CA7BD8" w:rsidRPr="002025B6" w:rsidRDefault="00CA7BD8" w:rsidP="000839E7">
      <w:pPr>
        <w:widowControl w:val="0"/>
        <w:rPr>
          <w:rFonts w:ascii="Times New Roman" w:hAnsi="Times New Roman" w:cs="Times New Roman"/>
          <w:spacing w:val="-10"/>
        </w:rPr>
      </w:pPr>
      <w:r w:rsidRPr="002025B6">
        <w:rPr>
          <w:rFonts w:ascii="Times New Roman" w:eastAsia="Times New Roman" w:hAnsi="Times New Roman" w:cs="Times New Roman"/>
          <w:b/>
          <w:bCs/>
          <w:iCs/>
          <w:spacing w:val="-10"/>
        </w:rPr>
        <w:t>1. Stato del personale relativamente a principi di  parità, pari opportunità e discriminazioni</w:t>
      </w:r>
    </w:p>
    <w:p w14:paraId="3B008494" w14:textId="77777777" w:rsidR="00D14624" w:rsidRPr="002025B6" w:rsidRDefault="00D14624" w:rsidP="000839E7">
      <w:pPr>
        <w:jc w:val="both"/>
        <w:rPr>
          <w:rFonts w:ascii="Times New Roman" w:hAnsi="Times New Roman" w:cs="Times New Roman"/>
          <w:spacing w:val="-10"/>
        </w:rPr>
      </w:pPr>
    </w:p>
    <w:p w14:paraId="1DEAFBC2"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spacing w:val="-10"/>
        </w:rPr>
        <w:t>Dall’analisi delle statistiche di genere e generazionali dell’Ente, elaborate dal CUG, sono emersi alcuni aspetti che mettono in luce l’esistenza di rilevanti discriminazioni, sia dirette che indirette, basate sull’età o sull’appartenenza a un sesso</w:t>
      </w:r>
      <w:r w:rsidRPr="002025B6">
        <w:rPr>
          <w:rStyle w:val="Rimandonotaapidipagina"/>
          <w:rFonts w:ascii="Times New Roman" w:hAnsi="Times New Roman" w:cs="Times New Roman"/>
          <w:spacing w:val="-10"/>
        </w:rPr>
        <w:footnoteReference w:id="2"/>
      </w:r>
      <w:r w:rsidRPr="002025B6">
        <w:rPr>
          <w:rFonts w:ascii="Times New Roman" w:hAnsi="Times New Roman" w:cs="Times New Roman"/>
          <w:spacing w:val="-10"/>
        </w:rPr>
        <w:t xml:space="preserve">. </w:t>
      </w:r>
    </w:p>
    <w:p w14:paraId="5AC8FAB8"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spacing w:val="-10"/>
        </w:rPr>
        <w:t xml:space="preserve">I dati utilizzati sono estratti dai conti annuali dell’Ente (in particolare da quello del 2013, aggiornato a dicembre dello stesso anno) e dal database dei consuntivi e preventivi INFN 2014. I dati sulle retribuzioni sono stati forniti dall’Ufficio del personale. </w:t>
      </w:r>
    </w:p>
    <w:p w14:paraId="6B475C5A" w14:textId="77777777" w:rsidR="00CA7BD8" w:rsidRPr="002025B6" w:rsidRDefault="00CA7BD8" w:rsidP="000839E7">
      <w:pPr>
        <w:jc w:val="both"/>
        <w:rPr>
          <w:rFonts w:ascii="Times New Roman" w:hAnsi="Times New Roman" w:cs="Times New Roman"/>
          <w:bCs/>
          <w:spacing w:val="-10"/>
        </w:rPr>
      </w:pPr>
      <w:r w:rsidRPr="002025B6">
        <w:rPr>
          <w:rFonts w:ascii="Times New Roman" w:hAnsi="Times New Roman" w:cs="Times New Roman"/>
          <w:spacing w:val="-10"/>
        </w:rPr>
        <w:t>Nel seguito vengono sottolineati i punti essenziali sintetizzati in tabella 1 e in figura 1.</w:t>
      </w:r>
    </w:p>
    <w:p w14:paraId="2BAEDE09" w14:textId="77777777" w:rsidR="00CA7BD8" w:rsidRPr="002025B6" w:rsidRDefault="00CA7BD8" w:rsidP="000839E7">
      <w:pPr>
        <w:jc w:val="both"/>
        <w:rPr>
          <w:rFonts w:ascii="Times New Roman" w:hAnsi="Times New Roman" w:cs="Times New Roman"/>
          <w:bCs/>
          <w:spacing w:val="-10"/>
        </w:rPr>
      </w:pPr>
    </w:p>
    <w:p w14:paraId="6E88C420"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bCs/>
          <w:spacing w:val="-10"/>
        </w:rPr>
        <w:t>1)</w:t>
      </w:r>
      <w:r w:rsidRPr="002025B6">
        <w:rPr>
          <w:rFonts w:ascii="Times New Roman" w:hAnsi="Times New Roman" w:cs="Times New Roman"/>
          <w:b/>
          <w:bCs/>
          <w:spacing w:val="-10"/>
        </w:rPr>
        <w:t xml:space="preserve"> Nell’ente vi è un forte squilibrio di genere. </w:t>
      </w:r>
      <w:r w:rsidRPr="002025B6">
        <w:rPr>
          <w:rFonts w:ascii="Times New Roman" w:hAnsi="Times New Roman" w:cs="Times New Roman"/>
          <w:spacing w:val="-10"/>
        </w:rPr>
        <w:t xml:space="preserve">Su un totale di 1743 dipendenti, le donne sono 429, il 25% (vedi tabella 1). Il rapporto tra uomini e donne varia di molto nei diversi profili: infatti </w:t>
      </w:r>
      <w:r w:rsidRPr="002025B6">
        <w:rPr>
          <w:rFonts w:ascii="Times New Roman" w:eastAsia="Times New Roman" w:hAnsi="Times New Roman" w:cs="Times New Roman"/>
          <w:spacing w:val="-10"/>
        </w:rPr>
        <w:t>p</w:t>
      </w:r>
      <w:r w:rsidRPr="002025B6">
        <w:rPr>
          <w:rFonts w:ascii="Times New Roman" w:hAnsi="Times New Roman" w:cs="Times New Roman"/>
          <w:spacing w:val="-10"/>
        </w:rPr>
        <w:t>er ogni donna vi sono 3.5 uomini fra i ricercatori, 6.5 tra i tecnologi, 18 fra i tecnici, mentre tra il personale amministrativo vi sono 4.7 donne per ogni uomo.</w:t>
      </w:r>
    </w:p>
    <w:p w14:paraId="0FD8FD0F" w14:textId="77777777" w:rsidR="00CA7BD8" w:rsidRPr="002025B6" w:rsidRDefault="00CA7BD8" w:rsidP="000839E7">
      <w:pPr>
        <w:jc w:val="both"/>
        <w:rPr>
          <w:rFonts w:ascii="Times New Roman" w:hAnsi="Times New Roman" w:cs="Times New Roman"/>
          <w:spacing w:val="-10"/>
        </w:rPr>
      </w:pPr>
    </w:p>
    <w:p w14:paraId="1270DEA0"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spacing w:val="-10"/>
        </w:rPr>
        <w:lastRenderedPageBreak/>
        <w:t xml:space="preserve">2) </w:t>
      </w:r>
      <w:r w:rsidRPr="002025B6">
        <w:rPr>
          <w:rFonts w:ascii="Times New Roman" w:hAnsi="Times New Roman" w:cs="Times New Roman"/>
          <w:b/>
          <w:spacing w:val="-10"/>
        </w:rPr>
        <w:t>La percentuale di donne nell’Ente non è sostanzialmente aumentata nel tempo.</w:t>
      </w:r>
      <w:r w:rsidRPr="002025B6">
        <w:rPr>
          <w:rFonts w:ascii="Times New Roman" w:hAnsi="Times New Roman" w:cs="Times New Roman"/>
          <w:spacing w:val="-10"/>
        </w:rPr>
        <w:t xml:space="preserve"> Nell'arco di 10 anni, dal 2003 al 2013, la percentuale delle donne fra il personale a tempo indeterminato è aumentata di soli 3 punti, dal 22% al 25%. Questo leggero incremento non è dovuto ad un aumento nelle assunzioni delle donne, ma al maggior numero di pensionamenti di personale maschile (281) rispetto a quello femminile (72). </w:t>
      </w:r>
    </w:p>
    <w:p w14:paraId="0F19601E" w14:textId="77777777" w:rsidR="00CA7BD8" w:rsidRPr="002025B6" w:rsidRDefault="00CA7BD8" w:rsidP="000839E7">
      <w:pPr>
        <w:jc w:val="both"/>
        <w:rPr>
          <w:rFonts w:ascii="Times New Roman" w:hAnsi="Times New Roman" w:cs="Times New Roman"/>
          <w:spacing w:val="-10"/>
        </w:rPr>
      </w:pPr>
    </w:p>
    <w:tbl>
      <w:tblPr>
        <w:tblW w:w="0" w:type="auto"/>
        <w:tblInd w:w="20" w:type="dxa"/>
        <w:tblLayout w:type="fixed"/>
        <w:tblCellMar>
          <w:left w:w="0" w:type="dxa"/>
          <w:right w:w="0" w:type="dxa"/>
        </w:tblCellMar>
        <w:tblLook w:val="0000" w:firstRow="0" w:lastRow="0" w:firstColumn="0" w:lastColumn="0" w:noHBand="0" w:noVBand="0"/>
      </w:tblPr>
      <w:tblGrid>
        <w:gridCol w:w="1066"/>
        <w:gridCol w:w="993"/>
        <w:gridCol w:w="1104"/>
        <w:gridCol w:w="1039"/>
        <w:gridCol w:w="998"/>
        <w:gridCol w:w="841"/>
        <w:gridCol w:w="912"/>
        <w:gridCol w:w="1084"/>
        <w:gridCol w:w="2101"/>
        <w:gridCol w:w="20"/>
      </w:tblGrid>
      <w:tr w:rsidR="00CA7BD8" w:rsidRPr="002025B6" w14:paraId="27D1040C" w14:textId="77777777" w:rsidTr="00600BEB">
        <w:trPr>
          <w:trHeight w:val="595"/>
        </w:trPr>
        <w:tc>
          <w:tcPr>
            <w:tcW w:w="10138" w:type="dxa"/>
            <w:gridSpan w:val="9"/>
            <w:tcBorders>
              <w:bottom w:val="single" w:sz="4" w:space="0" w:color="000000"/>
            </w:tcBorders>
            <w:shd w:val="clear" w:color="auto" w:fill="FFFFFF"/>
            <w:vAlign w:val="center"/>
          </w:tcPr>
          <w:p w14:paraId="5B891705" w14:textId="77777777" w:rsidR="00CA7BD8" w:rsidRPr="002025B6" w:rsidRDefault="00CA7BD8" w:rsidP="000839E7">
            <w:pPr>
              <w:pStyle w:val="TableStyle2A"/>
              <w:jc w:val="both"/>
              <w:rPr>
                <w:rFonts w:ascii="Times New Roman" w:hAnsi="Times New Roman" w:cs="Times New Roman"/>
                <w:spacing w:val="-10"/>
                <w:sz w:val="22"/>
                <w:szCs w:val="22"/>
              </w:rPr>
            </w:pPr>
            <w:r w:rsidRPr="002025B6">
              <w:rPr>
                <w:rFonts w:ascii="Times New Roman" w:hAnsi="Times New Roman" w:cs="Times New Roman"/>
                <w:b/>
                <w:bCs/>
                <w:spacing w:val="-10"/>
                <w:sz w:val="22"/>
                <w:szCs w:val="22"/>
              </w:rPr>
              <w:t xml:space="preserve">Tabella 1: </w:t>
            </w:r>
            <w:r w:rsidRPr="002025B6">
              <w:rPr>
                <w:rFonts w:ascii="Times New Roman" w:hAnsi="Times New Roman" w:cs="Times New Roman"/>
                <w:spacing w:val="-10"/>
                <w:sz w:val="22"/>
                <w:szCs w:val="22"/>
              </w:rPr>
              <w:t>Distribuzione del personale a tempo indeterminato per profili e livelli. Per ogni profilo, tra parentes</w:t>
            </w:r>
            <w:r w:rsidR="00600BEB" w:rsidRPr="002025B6">
              <w:rPr>
                <w:rFonts w:ascii="Times New Roman" w:hAnsi="Times New Roman" w:cs="Times New Roman"/>
                <w:spacing w:val="-10"/>
                <w:sz w:val="22"/>
                <w:szCs w:val="22"/>
              </w:rPr>
              <w:t xml:space="preserve">i è riportata la frazione, per </w:t>
            </w:r>
            <w:r w:rsidRPr="002025B6">
              <w:rPr>
                <w:rFonts w:ascii="Times New Roman" w:hAnsi="Times New Roman" w:cs="Times New Roman"/>
                <w:spacing w:val="-10"/>
                <w:sz w:val="22"/>
                <w:szCs w:val="22"/>
              </w:rPr>
              <w:t>genere, di personale nel livello mentre nella penultima riga è riportata la frazione per genere sul totale per profilo. I dati sono aggiornati a dicembre 2013.</w:t>
            </w:r>
          </w:p>
          <w:p w14:paraId="3544F688" w14:textId="77777777" w:rsidR="00CA7BD8" w:rsidRPr="002025B6" w:rsidRDefault="00CA7BD8" w:rsidP="000839E7">
            <w:pPr>
              <w:pStyle w:val="TableStyle2A"/>
              <w:jc w:val="both"/>
              <w:rPr>
                <w:rFonts w:ascii="Times New Roman" w:hAnsi="Times New Roman" w:cs="Times New Roman"/>
                <w:spacing w:val="-10"/>
                <w:sz w:val="22"/>
                <w:szCs w:val="22"/>
              </w:rPr>
            </w:pPr>
          </w:p>
        </w:tc>
        <w:tc>
          <w:tcPr>
            <w:tcW w:w="20" w:type="dxa"/>
            <w:shd w:val="clear" w:color="auto" w:fill="auto"/>
          </w:tcPr>
          <w:p w14:paraId="31B27F79" w14:textId="77777777" w:rsidR="00CA7BD8" w:rsidRPr="002025B6" w:rsidRDefault="00CA7BD8" w:rsidP="000839E7">
            <w:pPr>
              <w:jc w:val="both"/>
              <w:rPr>
                <w:rFonts w:ascii="Times New Roman" w:hAnsi="Times New Roman" w:cs="Times New Roman"/>
                <w:spacing w:val="-10"/>
                <w:sz w:val="22"/>
                <w:szCs w:val="22"/>
              </w:rPr>
            </w:pPr>
          </w:p>
        </w:tc>
      </w:tr>
      <w:tr w:rsidR="00CA7BD8" w:rsidRPr="00D14624" w14:paraId="1FC35891" w14:textId="77777777" w:rsidTr="00E35E9C">
        <w:trPr>
          <w:gridAfter w:val="1"/>
          <w:wAfter w:w="20" w:type="dxa"/>
          <w:trHeight w:val="467"/>
        </w:trPr>
        <w:tc>
          <w:tcPr>
            <w:tcW w:w="1066" w:type="dxa"/>
            <w:tcBorders>
              <w:top w:val="single" w:sz="4" w:space="0" w:color="000000"/>
              <w:left w:val="single" w:sz="8" w:space="0" w:color="000000"/>
              <w:bottom w:val="single" w:sz="1" w:space="0" w:color="000000"/>
              <w:right w:val="single" w:sz="8" w:space="0" w:color="000000"/>
            </w:tcBorders>
            <w:shd w:val="clear" w:color="auto" w:fill="FFFFFF"/>
            <w:vAlign w:val="center"/>
          </w:tcPr>
          <w:p w14:paraId="189517F4" w14:textId="77777777" w:rsidR="00CA7BD8" w:rsidRPr="001820A1" w:rsidRDefault="00CA7BD8" w:rsidP="000839E7">
            <w:pPr>
              <w:pStyle w:val="TableStyle2A"/>
              <w:jc w:val="center"/>
              <w:rPr>
                <w:rFonts w:ascii="Times New Roman" w:hAnsi="Times New Roman" w:cs="Times New Roman"/>
                <w:b/>
                <w:bCs/>
                <w:i/>
                <w:iCs/>
                <w:sz w:val="22"/>
                <w:szCs w:val="22"/>
              </w:rPr>
            </w:pPr>
            <w:r w:rsidRPr="001820A1">
              <w:rPr>
                <w:rFonts w:ascii="Times New Roman" w:hAnsi="Times New Roman" w:cs="Times New Roman"/>
                <w:b/>
                <w:bCs/>
                <w:i/>
                <w:iCs/>
                <w:sz w:val="22"/>
                <w:szCs w:val="22"/>
              </w:rPr>
              <w:t>Profilo/</w:t>
            </w:r>
          </w:p>
          <w:p w14:paraId="2AC4AC15" w14:textId="77777777" w:rsidR="00CA7BD8" w:rsidRPr="001820A1" w:rsidRDefault="00CA7BD8" w:rsidP="000839E7">
            <w:pPr>
              <w:pStyle w:val="TableStyle2A"/>
              <w:jc w:val="center"/>
              <w:rPr>
                <w:rFonts w:ascii="Times New Roman" w:hAnsi="Times New Roman" w:cs="Times New Roman"/>
                <w:b/>
                <w:bCs/>
                <w:i/>
                <w:iCs/>
                <w:sz w:val="22"/>
                <w:szCs w:val="22"/>
              </w:rPr>
            </w:pPr>
            <w:r w:rsidRPr="001820A1">
              <w:rPr>
                <w:rFonts w:ascii="Times New Roman" w:hAnsi="Times New Roman" w:cs="Times New Roman"/>
                <w:b/>
                <w:bCs/>
                <w:i/>
                <w:iCs/>
                <w:sz w:val="22"/>
                <w:szCs w:val="22"/>
              </w:rPr>
              <w:t>Livello</w:t>
            </w:r>
          </w:p>
        </w:tc>
        <w:tc>
          <w:tcPr>
            <w:tcW w:w="2097" w:type="dxa"/>
            <w:gridSpan w:val="2"/>
            <w:tcBorders>
              <w:top w:val="single" w:sz="4" w:space="0" w:color="000000"/>
              <w:left w:val="single" w:sz="8" w:space="0" w:color="000000"/>
              <w:bottom w:val="single" w:sz="8" w:space="0" w:color="000000"/>
              <w:right w:val="single" w:sz="8" w:space="0" w:color="000000"/>
            </w:tcBorders>
            <w:shd w:val="clear" w:color="auto" w:fill="FFFFFF"/>
            <w:vAlign w:val="center"/>
          </w:tcPr>
          <w:p w14:paraId="560A5D32" w14:textId="77777777" w:rsidR="00CA7BD8" w:rsidRPr="001820A1" w:rsidRDefault="00CA7BD8" w:rsidP="000839E7">
            <w:pPr>
              <w:pStyle w:val="TableStyle2A"/>
              <w:jc w:val="center"/>
              <w:rPr>
                <w:rFonts w:ascii="Times New Roman" w:hAnsi="Times New Roman" w:cs="Times New Roman"/>
                <w:b/>
                <w:bCs/>
                <w:i/>
                <w:iCs/>
                <w:sz w:val="22"/>
                <w:szCs w:val="22"/>
              </w:rPr>
            </w:pPr>
            <w:r w:rsidRPr="001820A1">
              <w:rPr>
                <w:rFonts w:ascii="Times New Roman" w:hAnsi="Times New Roman" w:cs="Times New Roman"/>
                <w:b/>
                <w:bCs/>
                <w:i/>
                <w:iCs/>
                <w:sz w:val="22"/>
                <w:szCs w:val="22"/>
              </w:rPr>
              <w:t>ricercatori</w:t>
            </w:r>
          </w:p>
        </w:tc>
        <w:tc>
          <w:tcPr>
            <w:tcW w:w="2037" w:type="dxa"/>
            <w:gridSpan w:val="2"/>
            <w:tcBorders>
              <w:top w:val="single" w:sz="4" w:space="0" w:color="000000"/>
              <w:left w:val="single" w:sz="8" w:space="0" w:color="000000"/>
              <w:bottom w:val="single" w:sz="8" w:space="0" w:color="000000"/>
              <w:right w:val="single" w:sz="8" w:space="0" w:color="000000"/>
            </w:tcBorders>
            <w:shd w:val="clear" w:color="auto" w:fill="FFFFFF"/>
            <w:vAlign w:val="center"/>
          </w:tcPr>
          <w:p w14:paraId="66A63083" w14:textId="77777777" w:rsidR="00CA7BD8" w:rsidRPr="001820A1" w:rsidRDefault="00CA7BD8" w:rsidP="000839E7">
            <w:pPr>
              <w:pStyle w:val="TableStyle2A"/>
              <w:jc w:val="center"/>
              <w:rPr>
                <w:rFonts w:ascii="Times New Roman" w:hAnsi="Times New Roman" w:cs="Times New Roman"/>
                <w:b/>
                <w:bCs/>
                <w:i/>
                <w:iCs/>
                <w:sz w:val="22"/>
                <w:szCs w:val="22"/>
              </w:rPr>
            </w:pPr>
            <w:r w:rsidRPr="001820A1">
              <w:rPr>
                <w:rFonts w:ascii="Times New Roman" w:hAnsi="Times New Roman" w:cs="Times New Roman"/>
                <w:b/>
                <w:bCs/>
                <w:i/>
                <w:iCs/>
                <w:sz w:val="22"/>
                <w:szCs w:val="22"/>
              </w:rPr>
              <w:t>tecnologi</w:t>
            </w:r>
          </w:p>
        </w:tc>
        <w:tc>
          <w:tcPr>
            <w:tcW w:w="841" w:type="dxa"/>
            <w:tcBorders>
              <w:top w:val="single" w:sz="4" w:space="0" w:color="000000"/>
              <w:left w:val="single" w:sz="8" w:space="0" w:color="000000"/>
              <w:bottom w:val="single" w:sz="1" w:space="0" w:color="000000"/>
              <w:right w:val="single" w:sz="8" w:space="0" w:color="000000"/>
            </w:tcBorders>
            <w:shd w:val="clear" w:color="auto" w:fill="FFFFFF"/>
            <w:vAlign w:val="center"/>
          </w:tcPr>
          <w:p w14:paraId="109FFA45" w14:textId="77777777" w:rsidR="00CA7BD8" w:rsidRPr="001820A1" w:rsidRDefault="00CA7BD8" w:rsidP="000839E7">
            <w:pPr>
              <w:pStyle w:val="TableStyle2A"/>
              <w:jc w:val="center"/>
              <w:rPr>
                <w:rFonts w:ascii="Times New Roman" w:hAnsi="Times New Roman" w:cs="Times New Roman"/>
                <w:b/>
                <w:bCs/>
                <w:i/>
                <w:iCs/>
                <w:sz w:val="22"/>
                <w:szCs w:val="22"/>
              </w:rPr>
            </w:pPr>
            <w:r w:rsidRPr="001820A1">
              <w:rPr>
                <w:rFonts w:ascii="Times New Roman" w:hAnsi="Times New Roman" w:cs="Times New Roman"/>
                <w:b/>
                <w:bCs/>
                <w:i/>
                <w:iCs/>
                <w:sz w:val="22"/>
                <w:szCs w:val="22"/>
              </w:rPr>
              <w:t>Profilo/</w:t>
            </w:r>
          </w:p>
          <w:p w14:paraId="6450D306" w14:textId="77777777" w:rsidR="00CA7BD8" w:rsidRPr="001820A1" w:rsidRDefault="00CA7BD8" w:rsidP="000839E7">
            <w:pPr>
              <w:pStyle w:val="TableStyle2A"/>
              <w:jc w:val="center"/>
              <w:rPr>
                <w:rFonts w:ascii="Times New Roman" w:hAnsi="Times New Roman" w:cs="Times New Roman"/>
                <w:b/>
                <w:bCs/>
                <w:i/>
                <w:iCs/>
                <w:sz w:val="22"/>
                <w:szCs w:val="22"/>
              </w:rPr>
            </w:pPr>
            <w:r w:rsidRPr="001820A1">
              <w:rPr>
                <w:rFonts w:ascii="Times New Roman" w:hAnsi="Times New Roman" w:cs="Times New Roman"/>
                <w:b/>
                <w:bCs/>
                <w:i/>
                <w:iCs/>
                <w:sz w:val="22"/>
                <w:szCs w:val="22"/>
              </w:rPr>
              <w:t>Livello</w:t>
            </w:r>
          </w:p>
        </w:tc>
        <w:tc>
          <w:tcPr>
            <w:tcW w:w="1996" w:type="dxa"/>
            <w:gridSpan w:val="2"/>
            <w:tcBorders>
              <w:top w:val="single" w:sz="4" w:space="0" w:color="000000"/>
              <w:left w:val="single" w:sz="8" w:space="0" w:color="000000"/>
              <w:bottom w:val="single" w:sz="8" w:space="0" w:color="000000"/>
              <w:right w:val="single" w:sz="8" w:space="0" w:color="000000"/>
            </w:tcBorders>
            <w:shd w:val="clear" w:color="auto" w:fill="FFFFFF"/>
            <w:vAlign w:val="center"/>
          </w:tcPr>
          <w:p w14:paraId="0BBC8299" w14:textId="77777777" w:rsidR="00CA7BD8" w:rsidRPr="001820A1" w:rsidRDefault="00CA7BD8" w:rsidP="000839E7">
            <w:pPr>
              <w:pStyle w:val="TableStyle2A"/>
              <w:jc w:val="center"/>
              <w:rPr>
                <w:rFonts w:ascii="Times New Roman" w:hAnsi="Times New Roman" w:cs="Times New Roman"/>
                <w:b/>
                <w:bCs/>
                <w:i/>
                <w:iCs/>
                <w:sz w:val="22"/>
                <w:szCs w:val="22"/>
              </w:rPr>
            </w:pPr>
            <w:r w:rsidRPr="001820A1">
              <w:rPr>
                <w:rFonts w:ascii="Times New Roman" w:hAnsi="Times New Roman" w:cs="Times New Roman"/>
                <w:b/>
                <w:bCs/>
                <w:i/>
                <w:iCs/>
                <w:sz w:val="22"/>
                <w:szCs w:val="22"/>
              </w:rPr>
              <w:t>amministrativi</w:t>
            </w:r>
          </w:p>
        </w:tc>
        <w:tc>
          <w:tcPr>
            <w:tcW w:w="210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59EACCE5" w14:textId="77777777" w:rsidR="00CA7BD8" w:rsidRPr="001820A1" w:rsidRDefault="00CA7BD8" w:rsidP="000839E7">
            <w:pPr>
              <w:pStyle w:val="TableStyle2A"/>
              <w:jc w:val="center"/>
              <w:rPr>
                <w:rFonts w:ascii="Times New Roman" w:hAnsi="Times New Roman" w:cs="Times New Roman"/>
                <w:sz w:val="22"/>
                <w:szCs w:val="22"/>
              </w:rPr>
            </w:pPr>
            <w:r w:rsidRPr="001820A1">
              <w:rPr>
                <w:rFonts w:ascii="Times New Roman" w:hAnsi="Times New Roman" w:cs="Times New Roman"/>
                <w:b/>
                <w:bCs/>
                <w:i/>
                <w:iCs/>
                <w:sz w:val="22"/>
                <w:szCs w:val="22"/>
              </w:rPr>
              <w:t>tecnici</w:t>
            </w:r>
          </w:p>
        </w:tc>
      </w:tr>
      <w:tr w:rsidR="00CA7BD8" w:rsidRPr="00D14624" w14:paraId="423DA376" w14:textId="77777777" w:rsidTr="00E35E9C">
        <w:trPr>
          <w:gridAfter w:val="1"/>
          <w:wAfter w:w="20" w:type="dxa"/>
          <w:trHeight w:val="293"/>
        </w:trPr>
        <w:tc>
          <w:tcPr>
            <w:tcW w:w="106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4297151" w14:textId="77777777" w:rsidR="00CA7BD8" w:rsidRPr="001820A1" w:rsidRDefault="00CA7BD8" w:rsidP="000839E7">
            <w:pPr>
              <w:rPr>
                <w:rFonts w:ascii="Times New Roman" w:hAnsi="Times New Roman" w:cs="Times New Roman"/>
                <w:sz w:val="22"/>
                <w:szCs w:val="22"/>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64ED0491" w14:textId="77777777" w:rsidR="00CA7BD8" w:rsidRPr="001820A1" w:rsidRDefault="00CA7BD8" w:rsidP="000839E7">
            <w:pPr>
              <w:pStyle w:val="TableStyle2A"/>
              <w:jc w:val="center"/>
              <w:rPr>
                <w:rFonts w:ascii="Times New Roman" w:eastAsia="MS Serif" w:hAnsi="Times New Roman" w:cs="Times New Roman"/>
                <w:sz w:val="22"/>
                <w:szCs w:val="22"/>
              </w:rPr>
            </w:pPr>
            <w:r w:rsidRPr="001820A1">
              <w:rPr>
                <w:rFonts w:ascii="Times New Roman" w:eastAsia="MS Serif" w:hAnsi="Times New Roman" w:cs="Times New Roman"/>
                <w:sz w:val="22"/>
                <w:szCs w:val="22"/>
              </w:rPr>
              <w:t>Uomini</w:t>
            </w:r>
          </w:p>
        </w:tc>
        <w:tc>
          <w:tcPr>
            <w:tcW w:w="1104"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73D52E33" w14:textId="77777777" w:rsidR="00CA7BD8" w:rsidRPr="001820A1" w:rsidRDefault="00CA7BD8" w:rsidP="000839E7">
            <w:pPr>
              <w:pStyle w:val="TableStyle2A"/>
              <w:jc w:val="center"/>
              <w:rPr>
                <w:rFonts w:ascii="Times New Roman" w:eastAsia="MS Serif" w:hAnsi="Times New Roman" w:cs="Times New Roman"/>
                <w:sz w:val="22"/>
                <w:szCs w:val="22"/>
              </w:rPr>
            </w:pPr>
            <w:r w:rsidRPr="001820A1">
              <w:rPr>
                <w:rFonts w:ascii="Times New Roman" w:eastAsia="MS Serif" w:hAnsi="Times New Roman" w:cs="Times New Roman"/>
                <w:sz w:val="22"/>
                <w:szCs w:val="22"/>
              </w:rPr>
              <w:t>Donne</w:t>
            </w:r>
          </w:p>
        </w:tc>
        <w:tc>
          <w:tcPr>
            <w:tcW w:w="1039"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545A6093" w14:textId="77777777" w:rsidR="00CA7BD8" w:rsidRPr="001820A1" w:rsidRDefault="00CA7BD8" w:rsidP="000839E7">
            <w:pPr>
              <w:pStyle w:val="TableStyle2A"/>
              <w:jc w:val="center"/>
              <w:rPr>
                <w:rFonts w:ascii="Times New Roman" w:eastAsia="MS Serif" w:hAnsi="Times New Roman" w:cs="Times New Roman"/>
                <w:sz w:val="22"/>
                <w:szCs w:val="22"/>
              </w:rPr>
            </w:pPr>
            <w:r w:rsidRPr="001820A1">
              <w:rPr>
                <w:rFonts w:ascii="Times New Roman" w:eastAsia="MS Serif" w:hAnsi="Times New Roman" w:cs="Times New Roman"/>
                <w:sz w:val="22"/>
                <w:szCs w:val="22"/>
              </w:rPr>
              <w:t>Uomini</w:t>
            </w:r>
          </w:p>
        </w:tc>
        <w:tc>
          <w:tcPr>
            <w:tcW w:w="998"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A37BF98" w14:textId="77777777" w:rsidR="00CA7BD8" w:rsidRPr="001820A1" w:rsidRDefault="00CA7BD8" w:rsidP="000839E7">
            <w:pPr>
              <w:pStyle w:val="TableStyle2A"/>
              <w:jc w:val="center"/>
              <w:rPr>
                <w:rFonts w:ascii="Times New Roman" w:hAnsi="Times New Roman" w:cs="Times New Roman"/>
                <w:sz w:val="22"/>
                <w:szCs w:val="22"/>
              </w:rPr>
            </w:pPr>
            <w:r w:rsidRPr="001820A1">
              <w:rPr>
                <w:rFonts w:ascii="Times New Roman" w:eastAsia="MS Serif" w:hAnsi="Times New Roman" w:cs="Times New Roman"/>
                <w:sz w:val="22"/>
                <w:szCs w:val="22"/>
              </w:rPr>
              <w:t>Donne</w:t>
            </w:r>
          </w:p>
        </w:tc>
        <w:tc>
          <w:tcPr>
            <w:tcW w:w="84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37BDFC0B" w14:textId="77777777" w:rsidR="00CA7BD8" w:rsidRPr="001820A1" w:rsidRDefault="00CA7BD8" w:rsidP="000839E7">
            <w:pPr>
              <w:rPr>
                <w:rFonts w:ascii="Times New Roman" w:hAnsi="Times New Roman" w:cs="Times New Roman"/>
                <w:sz w:val="22"/>
                <w:szCs w:val="22"/>
              </w:rPr>
            </w:pPr>
          </w:p>
        </w:tc>
        <w:tc>
          <w:tcPr>
            <w:tcW w:w="912"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0E7AF2F6" w14:textId="77777777" w:rsidR="00CA7BD8" w:rsidRPr="001820A1" w:rsidRDefault="00CA7BD8" w:rsidP="000839E7">
            <w:pPr>
              <w:pStyle w:val="TableStyle2A"/>
              <w:jc w:val="center"/>
              <w:rPr>
                <w:rFonts w:ascii="Times New Roman" w:eastAsia="MS Serif" w:hAnsi="Times New Roman" w:cs="Times New Roman"/>
                <w:sz w:val="22"/>
                <w:szCs w:val="22"/>
              </w:rPr>
            </w:pPr>
            <w:r w:rsidRPr="001820A1">
              <w:rPr>
                <w:rFonts w:ascii="Times New Roman" w:eastAsia="MS Serif" w:hAnsi="Times New Roman" w:cs="Times New Roman"/>
                <w:sz w:val="22"/>
                <w:szCs w:val="22"/>
              </w:rPr>
              <w:t>Uomini</w:t>
            </w:r>
          </w:p>
        </w:tc>
        <w:tc>
          <w:tcPr>
            <w:tcW w:w="1084"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DC78D5A" w14:textId="77777777" w:rsidR="00CA7BD8" w:rsidRPr="001820A1" w:rsidRDefault="00CA7BD8" w:rsidP="000839E7">
            <w:pPr>
              <w:pStyle w:val="TableStyle2A"/>
              <w:jc w:val="center"/>
              <w:rPr>
                <w:rFonts w:ascii="Times New Roman" w:eastAsia="MS Serif" w:hAnsi="Times New Roman" w:cs="Times New Roman"/>
                <w:sz w:val="22"/>
                <w:szCs w:val="22"/>
              </w:rPr>
            </w:pPr>
            <w:r w:rsidRPr="001820A1">
              <w:rPr>
                <w:rFonts w:ascii="Times New Roman" w:eastAsia="MS Serif" w:hAnsi="Times New Roman" w:cs="Times New Roman"/>
                <w:sz w:val="22"/>
                <w:szCs w:val="22"/>
              </w:rPr>
              <w:t>Donne</w:t>
            </w: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0B868233" w14:textId="77777777" w:rsidR="00CA7BD8" w:rsidRPr="001820A1" w:rsidRDefault="00CA7BD8" w:rsidP="000839E7">
            <w:pPr>
              <w:pStyle w:val="TableStyle2A"/>
              <w:jc w:val="center"/>
              <w:rPr>
                <w:rFonts w:ascii="Times New Roman" w:hAnsi="Times New Roman" w:cs="Times New Roman"/>
                <w:sz w:val="22"/>
                <w:szCs w:val="22"/>
              </w:rPr>
            </w:pPr>
            <w:r w:rsidRPr="001820A1">
              <w:rPr>
                <w:rFonts w:ascii="Times New Roman" w:eastAsia="MS Serif" w:hAnsi="Times New Roman" w:cs="Times New Roman"/>
                <w:sz w:val="22"/>
                <w:szCs w:val="22"/>
              </w:rPr>
              <w:t>Uomini</w:t>
            </w:r>
          </w:p>
        </w:tc>
      </w:tr>
      <w:tr w:rsidR="00CA7BD8" w:rsidRPr="00D14624" w14:paraId="0ECF22AE" w14:textId="77777777" w:rsidTr="001820A1">
        <w:trPr>
          <w:gridAfter w:val="1"/>
          <w:wAfter w:w="20" w:type="dxa"/>
          <w:trHeight w:val="340"/>
        </w:trPr>
        <w:tc>
          <w:tcPr>
            <w:tcW w:w="106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51B4C3E7" w14:textId="77777777" w:rsidR="00CA7BD8" w:rsidRPr="001820A1" w:rsidRDefault="00CA7BD8" w:rsidP="000839E7">
            <w:pPr>
              <w:pStyle w:val="TableStyle2A"/>
              <w:jc w:val="center"/>
              <w:rPr>
                <w:rFonts w:ascii="Times New Roman" w:hAnsi="Times New Roman" w:cs="Times New Roman"/>
                <w:sz w:val="22"/>
                <w:szCs w:val="22"/>
              </w:rPr>
            </w:pPr>
            <w:r w:rsidRPr="001820A1">
              <w:rPr>
                <w:rFonts w:ascii="Times New Roman" w:hAnsi="Times New Roman" w:cs="Times New Roman"/>
                <w:sz w:val="22"/>
                <w:szCs w:val="22"/>
              </w:rPr>
              <w:t>I</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ECC4D30" w14:textId="77777777" w:rsidR="00CA7BD8" w:rsidRPr="001820A1" w:rsidRDefault="00CA7BD8" w:rsidP="000839E7">
            <w:pPr>
              <w:pStyle w:val="TableStyle2A"/>
              <w:jc w:val="center"/>
              <w:rPr>
                <w:rFonts w:ascii="Times New Roman" w:hAnsi="Times New Roman" w:cs="Times New Roman"/>
                <w:sz w:val="22"/>
                <w:szCs w:val="22"/>
              </w:rPr>
            </w:pPr>
            <w:r w:rsidRPr="001820A1">
              <w:rPr>
                <w:rFonts w:ascii="Times New Roman" w:hAnsi="Times New Roman" w:cs="Times New Roman"/>
                <w:sz w:val="22"/>
                <w:szCs w:val="22"/>
              </w:rPr>
              <w:t>92 (21%)</w:t>
            </w:r>
          </w:p>
        </w:tc>
        <w:tc>
          <w:tcPr>
            <w:tcW w:w="1104"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EB9DCDE"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11 (9%)</w:t>
            </w:r>
          </w:p>
        </w:tc>
        <w:tc>
          <w:tcPr>
            <w:tcW w:w="1039"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5B5AED7D"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36 (19%)</w:t>
            </w:r>
          </w:p>
        </w:tc>
        <w:tc>
          <w:tcPr>
            <w:tcW w:w="998"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A55C121"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2 (7%)</w:t>
            </w:r>
          </w:p>
        </w:tc>
        <w:tc>
          <w:tcPr>
            <w:tcW w:w="84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56DEFE55" w14:textId="77777777" w:rsidR="00CA7BD8" w:rsidRPr="001820A1" w:rsidRDefault="00CA7BD8" w:rsidP="000839E7">
            <w:pPr>
              <w:pStyle w:val="TableStyle2A"/>
              <w:jc w:val="center"/>
              <w:rPr>
                <w:rFonts w:ascii="Times New Roman" w:hAnsi="Times New Roman" w:cs="Times New Roman"/>
                <w:sz w:val="22"/>
                <w:szCs w:val="22"/>
              </w:rPr>
            </w:pPr>
            <w:r w:rsidRPr="001820A1">
              <w:rPr>
                <w:rFonts w:ascii="Times New Roman" w:hAnsi="Times New Roman" w:cs="Times New Roman"/>
                <w:sz w:val="22"/>
                <w:szCs w:val="22"/>
              </w:rPr>
              <w:t>IV</w:t>
            </w:r>
          </w:p>
        </w:tc>
        <w:tc>
          <w:tcPr>
            <w:tcW w:w="912"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3CFD992"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11 (22%)</w:t>
            </w:r>
          </w:p>
        </w:tc>
        <w:tc>
          <w:tcPr>
            <w:tcW w:w="1084"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7DA95F3"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39 (16%)</w:t>
            </w: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37B751F0" w14:textId="77777777" w:rsidR="00CA7BD8" w:rsidRPr="001820A1" w:rsidRDefault="00CA7BD8" w:rsidP="000839E7">
            <w:pPr>
              <w:pStyle w:val="TableStyle2A"/>
              <w:tabs>
                <w:tab w:val="right" w:pos="708"/>
              </w:tabs>
              <w:jc w:val="center"/>
              <w:rPr>
                <w:rFonts w:ascii="Times New Roman" w:hAnsi="Times New Roman" w:cs="Times New Roman"/>
                <w:sz w:val="22"/>
                <w:szCs w:val="22"/>
              </w:rPr>
            </w:pPr>
            <w:r w:rsidRPr="001820A1">
              <w:rPr>
                <w:rFonts w:ascii="Times New Roman" w:hAnsi="Times New Roman" w:cs="Times New Roman"/>
                <w:sz w:val="22"/>
                <w:szCs w:val="22"/>
              </w:rPr>
              <w:t>304 (49%)</w:t>
            </w:r>
          </w:p>
        </w:tc>
      </w:tr>
      <w:tr w:rsidR="00CA7BD8" w:rsidRPr="00D14624" w14:paraId="18767978" w14:textId="77777777" w:rsidTr="001820A1">
        <w:trPr>
          <w:gridAfter w:val="1"/>
          <w:wAfter w:w="20" w:type="dxa"/>
          <w:trHeight w:val="340"/>
        </w:trPr>
        <w:tc>
          <w:tcPr>
            <w:tcW w:w="106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3B72336B" w14:textId="77777777" w:rsidR="00CA7BD8" w:rsidRPr="001820A1" w:rsidRDefault="00CA7BD8" w:rsidP="000839E7">
            <w:pPr>
              <w:pStyle w:val="TableStyle2A"/>
              <w:jc w:val="center"/>
              <w:rPr>
                <w:rFonts w:ascii="Times New Roman" w:hAnsi="Times New Roman" w:cs="Times New Roman"/>
                <w:sz w:val="22"/>
                <w:szCs w:val="22"/>
              </w:rPr>
            </w:pPr>
            <w:r w:rsidRPr="001820A1">
              <w:rPr>
                <w:rFonts w:ascii="Times New Roman" w:hAnsi="Times New Roman" w:cs="Times New Roman"/>
                <w:sz w:val="22"/>
                <w:szCs w:val="22"/>
              </w:rPr>
              <w:t>II</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72B7148" w14:textId="77777777" w:rsidR="00CA7BD8" w:rsidRPr="001820A1" w:rsidRDefault="00CA7BD8" w:rsidP="000839E7">
            <w:pPr>
              <w:pStyle w:val="TableStyle2A"/>
              <w:jc w:val="center"/>
              <w:rPr>
                <w:rFonts w:ascii="Times New Roman" w:hAnsi="Times New Roman" w:cs="Times New Roman"/>
                <w:sz w:val="22"/>
                <w:szCs w:val="22"/>
              </w:rPr>
            </w:pPr>
            <w:r w:rsidRPr="001820A1">
              <w:rPr>
                <w:rFonts w:ascii="Times New Roman" w:hAnsi="Times New Roman" w:cs="Times New Roman"/>
                <w:sz w:val="22"/>
                <w:szCs w:val="22"/>
              </w:rPr>
              <w:t>195 (43%)</w:t>
            </w:r>
          </w:p>
        </w:tc>
        <w:tc>
          <w:tcPr>
            <w:tcW w:w="1104"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8A58FBA"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65 (51%)</w:t>
            </w:r>
          </w:p>
        </w:tc>
        <w:tc>
          <w:tcPr>
            <w:tcW w:w="1039"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287B1BB" w14:textId="77777777" w:rsidR="00CA7BD8" w:rsidRPr="001820A1" w:rsidRDefault="00CA7BD8" w:rsidP="000839E7">
            <w:pPr>
              <w:pStyle w:val="TableStyle2A"/>
              <w:tabs>
                <w:tab w:val="right" w:pos="920"/>
              </w:tabs>
              <w:jc w:val="center"/>
              <w:rPr>
                <w:rFonts w:ascii="Times New Roman" w:hAnsi="Times New Roman" w:cs="Times New Roman"/>
                <w:sz w:val="22"/>
                <w:szCs w:val="22"/>
              </w:rPr>
            </w:pPr>
            <w:r w:rsidRPr="001820A1">
              <w:rPr>
                <w:rFonts w:ascii="Times New Roman" w:hAnsi="Times New Roman" w:cs="Times New Roman"/>
                <w:sz w:val="22"/>
                <w:szCs w:val="22"/>
              </w:rPr>
              <w:t>76 (40%)</w:t>
            </w:r>
          </w:p>
        </w:tc>
        <w:tc>
          <w:tcPr>
            <w:tcW w:w="998"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7ABA20A2" w14:textId="77777777" w:rsidR="00CA7BD8" w:rsidRPr="001820A1" w:rsidRDefault="00CA7BD8" w:rsidP="000839E7">
            <w:pPr>
              <w:pStyle w:val="TableStyle2A"/>
              <w:tabs>
                <w:tab w:val="right" w:pos="920"/>
              </w:tabs>
              <w:jc w:val="center"/>
              <w:rPr>
                <w:rFonts w:ascii="Times New Roman" w:hAnsi="Times New Roman" w:cs="Times New Roman"/>
                <w:sz w:val="22"/>
                <w:szCs w:val="22"/>
              </w:rPr>
            </w:pPr>
            <w:r w:rsidRPr="001820A1">
              <w:rPr>
                <w:rFonts w:ascii="Times New Roman" w:hAnsi="Times New Roman" w:cs="Times New Roman"/>
                <w:sz w:val="22"/>
                <w:szCs w:val="22"/>
              </w:rPr>
              <w:t>12 (41%)</w:t>
            </w:r>
          </w:p>
        </w:tc>
        <w:tc>
          <w:tcPr>
            <w:tcW w:w="84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5182CE8D" w14:textId="77777777" w:rsidR="00CA7BD8" w:rsidRPr="001820A1" w:rsidRDefault="00CA7BD8" w:rsidP="000839E7">
            <w:pPr>
              <w:pStyle w:val="TableStyle2A"/>
              <w:jc w:val="center"/>
              <w:rPr>
                <w:rFonts w:ascii="Times New Roman" w:hAnsi="Times New Roman" w:cs="Times New Roman"/>
                <w:sz w:val="22"/>
                <w:szCs w:val="22"/>
              </w:rPr>
            </w:pPr>
            <w:r w:rsidRPr="001820A1">
              <w:rPr>
                <w:rFonts w:ascii="Times New Roman" w:hAnsi="Times New Roman" w:cs="Times New Roman"/>
                <w:sz w:val="22"/>
                <w:szCs w:val="22"/>
              </w:rPr>
              <w:t>V</w:t>
            </w:r>
          </w:p>
        </w:tc>
        <w:tc>
          <w:tcPr>
            <w:tcW w:w="912"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23AE00D"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27 (53%)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7B20A9E"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140 (59%)</w:t>
            </w: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44E3C92"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164 (26%)</w:t>
            </w:r>
          </w:p>
        </w:tc>
      </w:tr>
      <w:tr w:rsidR="00CA7BD8" w:rsidRPr="00D14624" w14:paraId="6610941F" w14:textId="77777777" w:rsidTr="001820A1">
        <w:trPr>
          <w:gridAfter w:val="1"/>
          <w:wAfter w:w="20" w:type="dxa"/>
          <w:trHeight w:val="340"/>
        </w:trPr>
        <w:tc>
          <w:tcPr>
            <w:tcW w:w="106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41EAE90" w14:textId="77777777" w:rsidR="00CA7BD8" w:rsidRPr="001820A1" w:rsidRDefault="00CA7BD8" w:rsidP="000839E7">
            <w:pPr>
              <w:pStyle w:val="TableStyle2A"/>
              <w:tabs>
                <w:tab w:val="right" w:pos="920"/>
              </w:tabs>
              <w:jc w:val="center"/>
              <w:rPr>
                <w:rFonts w:ascii="Times New Roman" w:hAnsi="Times New Roman" w:cs="Times New Roman"/>
                <w:sz w:val="22"/>
                <w:szCs w:val="22"/>
              </w:rPr>
            </w:pPr>
            <w:r w:rsidRPr="001820A1">
              <w:rPr>
                <w:rFonts w:ascii="Times New Roman" w:hAnsi="Times New Roman" w:cs="Times New Roman"/>
                <w:sz w:val="22"/>
                <w:szCs w:val="22"/>
              </w:rPr>
              <w:t>III</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781B861A" w14:textId="77777777" w:rsidR="00CA7BD8" w:rsidRPr="001820A1" w:rsidRDefault="00CA7BD8" w:rsidP="000839E7">
            <w:pPr>
              <w:pStyle w:val="TableStyle2A"/>
              <w:tabs>
                <w:tab w:val="right" w:pos="920"/>
              </w:tabs>
              <w:jc w:val="center"/>
              <w:rPr>
                <w:rFonts w:ascii="Times New Roman" w:hAnsi="Times New Roman" w:cs="Times New Roman"/>
                <w:sz w:val="22"/>
                <w:szCs w:val="22"/>
              </w:rPr>
            </w:pPr>
            <w:r w:rsidRPr="001820A1">
              <w:rPr>
                <w:rFonts w:ascii="Times New Roman" w:hAnsi="Times New Roman" w:cs="Times New Roman"/>
                <w:sz w:val="22"/>
                <w:szCs w:val="22"/>
              </w:rPr>
              <w:t>163 (36%)</w:t>
            </w:r>
          </w:p>
        </w:tc>
        <w:tc>
          <w:tcPr>
            <w:tcW w:w="1104"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52F491B3" w14:textId="77777777" w:rsidR="00CA7BD8" w:rsidRPr="001820A1" w:rsidRDefault="00CA7BD8" w:rsidP="000839E7">
            <w:pPr>
              <w:pStyle w:val="TableStyle2A"/>
              <w:tabs>
                <w:tab w:val="right" w:pos="920"/>
              </w:tabs>
              <w:jc w:val="center"/>
              <w:rPr>
                <w:rFonts w:ascii="Times New Roman" w:hAnsi="Times New Roman" w:cs="Times New Roman"/>
                <w:sz w:val="22"/>
                <w:szCs w:val="22"/>
              </w:rPr>
            </w:pPr>
            <w:r w:rsidRPr="001820A1">
              <w:rPr>
                <w:rFonts w:ascii="Times New Roman" w:hAnsi="Times New Roman" w:cs="Times New Roman"/>
                <w:sz w:val="22"/>
                <w:szCs w:val="22"/>
              </w:rPr>
              <w:t>51 (40%)</w:t>
            </w:r>
          </w:p>
        </w:tc>
        <w:tc>
          <w:tcPr>
            <w:tcW w:w="1039"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0B865C6B" w14:textId="77777777" w:rsidR="00CA7BD8" w:rsidRPr="001820A1" w:rsidRDefault="00CA7BD8" w:rsidP="000839E7">
            <w:pPr>
              <w:pStyle w:val="TableStyle2A"/>
              <w:tabs>
                <w:tab w:val="right" w:pos="920"/>
              </w:tabs>
              <w:jc w:val="center"/>
              <w:rPr>
                <w:rFonts w:ascii="Times New Roman" w:hAnsi="Times New Roman" w:cs="Times New Roman"/>
                <w:sz w:val="22"/>
                <w:szCs w:val="22"/>
              </w:rPr>
            </w:pPr>
            <w:r w:rsidRPr="001820A1">
              <w:rPr>
                <w:rFonts w:ascii="Times New Roman" w:hAnsi="Times New Roman" w:cs="Times New Roman"/>
                <w:sz w:val="22"/>
                <w:szCs w:val="22"/>
              </w:rPr>
              <w:t>78 (41%)</w:t>
            </w:r>
          </w:p>
        </w:tc>
        <w:tc>
          <w:tcPr>
            <w:tcW w:w="998"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3C9426EC" w14:textId="77777777" w:rsidR="00CA7BD8" w:rsidRPr="001820A1" w:rsidRDefault="00CA7BD8" w:rsidP="000839E7">
            <w:pPr>
              <w:pStyle w:val="TableStyle2A"/>
              <w:tabs>
                <w:tab w:val="right" w:pos="920"/>
              </w:tabs>
              <w:jc w:val="center"/>
              <w:rPr>
                <w:rFonts w:ascii="Times New Roman" w:hAnsi="Times New Roman" w:cs="Times New Roman"/>
                <w:sz w:val="22"/>
                <w:szCs w:val="22"/>
              </w:rPr>
            </w:pPr>
            <w:r w:rsidRPr="001820A1">
              <w:rPr>
                <w:rFonts w:ascii="Times New Roman" w:hAnsi="Times New Roman" w:cs="Times New Roman"/>
                <w:sz w:val="22"/>
                <w:szCs w:val="22"/>
              </w:rPr>
              <w:t>15 (52%)</w:t>
            </w:r>
          </w:p>
        </w:tc>
        <w:tc>
          <w:tcPr>
            <w:tcW w:w="84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AA61277" w14:textId="77777777" w:rsidR="00CA7BD8" w:rsidRPr="001820A1" w:rsidRDefault="00CA7BD8" w:rsidP="000839E7">
            <w:pPr>
              <w:pStyle w:val="TableStyle2A"/>
              <w:jc w:val="center"/>
              <w:rPr>
                <w:rFonts w:ascii="Times New Roman" w:hAnsi="Times New Roman" w:cs="Times New Roman"/>
                <w:sz w:val="22"/>
                <w:szCs w:val="22"/>
              </w:rPr>
            </w:pPr>
            <w:r w:rsidRPr="001820A1">
              <w:rPr>
                <w:rFonts w:ascii="Times New Roman" w:hAnsi="Times New Roman" w:cs="Times New Roman"/>
                <w:sz w:val="22"/>
                <w:szCs w:val="22"/>
              </w:rPr>
              <w:t>VI</w:t>
            </w:r>
          </w:p>
        </w:tc>
        <w:tc>
          <w:tcPr>
            <w:tcW w:w="912"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701F13D4" w14:textId="77777777" w:rsidR="00CA7BD8" w:rsidRPr="001820A1" w:rsidRDefault="00CA7BD8" w:rsidP="000839E7">
            <w:pPr>
              <w:pStyle w:val="TableStyle2A"/>
              <w:jc w:val="center"/>
              <w:rPr>
                <w:rFonts w:ascii="Times New Roman" w:hAnsi="Times New Roman" w:cs="Times New Roman"/>
                <w:sz w:val="22"/>
                <w:szCs w:val="22"/>
              </w:rPr>
            </w:pPr>
            <w:r w:rsidRPr="001820A1">
              <w:rPr>
                <w:rFonts w:ascii="Times New Roman" w:hAnsi="Times New Roman" w:cs="Times New Roman"/>
                <w:sz w:val="22"/>
                <w:szCs w:val="22"/>
              </w:rPr>
              <w:t>12 (23%)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7348997C"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44 (19%)</w:t>
            </w: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335126C"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133 (21%)</w:t>
            </w:r>
          </w:p>
        </w:tc>
      </w:tr>
      <w:tr w:rsidR="00CA7BD8" w:rsidRPr="00D14624" w14:paraId="022184B8" w14:textId="77777777" w:rsidTr="001820A1">
        <w:trPr>
          <w:gridAfter w:val="1"/>
          <w:wAfter w:w="20" w:type="dxa"/>
          <w:trHeight w:val="340"/>
        </w:trPr>
        <w:tc>
          <w:tcPr>
            <w:tcW w:w="106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50F4FC4" w14:textId="77777777" w:rsidR="00CA7BD8" w:rsidRPr="001820A1" w:rsidRDefault="00CA7BD8" w:rsidP="000839E7">
            <w:pPr>
              <w:rPr>
                <w:rFonts w:ascii="Times New Roman" w:hAnsi="Times New Roman" w:cs="Times New Roman"/>
                <w:sz w:val="22"/>
                <w:szCs w:val="22"/>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5773D843" w14:textId="77777777" w:rsidR="00CA7BD8" w:rsidRPr="001820A1" w:rsidRDefault="00CA7BD8" w:rsidP="000839E7">
            <w:pPr>
              <w:rPr>
                <w:rFonts w:ascii="Times New Roman" w:hAnsi="Times New Roman" w:cs="Times New Roman"/>
                <w:sz w:val="22"/>
                <w:szCs w:val="22"/>
              </w:rPr>
            </w:pPr>
          </w:p>
        </w:tc>
        <w:tc>
          <w:tcPr>
            <w:tcW w:w="1104"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23C55D0" w14:textId="77777777" w:rsidR="00CA7BD8" w:rsidRPr="001820A1" w:rsidRDefault="00CA7BD8" w:rsidP="000839E7">
            <w:pPr>
              <w:rPr>
                <w:rFonts w:ascii="Times New Roman" w:hAnsi="Times New Roman" w:cs="Times New Roman"/>
                <w:sz w:val="22"/>
                <w:szCs w:val="22"/>
              </w:rPr>
            </w:pPr>
          </w:p>
        </w:tc>
        <w:tc>
          <w:tcPr>
            <w:tcW w:w="1039"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FB4CD60" w14:textId="77777777" w:rsidR="00CA7BD8" w:rsidRPr="001820A1" w:rsidRDefault="00CA7BD8" w:rsidP="000839E7">
            <w:pPr>
              <w:rPr>
                <w:rFonts w:ascii="Times New Roman" w:hAnsi="Times New Roman" w:cs="Times New Roman"/>
                <w:sz w:val="22"/>
                <w:szCs w:val="22"/>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637BA49" w14:textId="77777777" w:rsidR="00CA7BD8" w:rsidRPr="001820A1" w:rsidRDefault="00CA7BD8" w:rsidP="000839E7">
            <w:pPr>
              <w:rPr>
                <w:rFonts w:ascii="Times New Roman" w:hAnsi="Times New Roman" w:cs="Times New Roman"/>
                <w:sz w:val="22"/>
                <w:szCs w:val="22"/>
              </w:rPr>
            </w:pPr>
          </w:p>
        </w:tc>
        <w:tc>
          <w:tcPr>
            <w:tcW w:w="84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62F25743" w14:textId="77777777" w:rsidR="00CA7BD8" w:rsidRPr="001820A1" w:rsidRDefault="00CA7BD8" w:rsidP="000839E7">
            <w:pPr>
              <w:pStyle w:val="TableStyle2A"/>
              <w:jc w:val="center"/>
              <w:rPr>
                <w:rFonts w:ascii="Times New Roman" w:hAnsi="Times New Roman" w:cs="Times New Roman"/>
                <w:sz w:val="22"/>
                <w:szCs w:val="22"/>
              </w:rPr>
            </w:pPr>
            <w:r w:rsidRPr="001820A1">
              <w:rPr>
                <w:rFonts w:ascii="Times New Roman" w:hAnsi="Times New Roman" w:cs="Times New Roman"/>
                <w:sz w:val="22"/>
                <w:szCs w:val="22"/>
              </w:rPr>
              <w:t>VII</w:t>
            </w:r>
          </w:p>
        </w:tc>
        <w:tc>
          <w:tcPr>
            <w:tcW w:w="912"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060A8FE4"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1 (2%)</w:t>
            </w:r>
          </w:p>
        </w:tc>
        <w:tc>
          <w:tcPr>
            <w:tcW w:w="1084"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5E3EDC8B"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15 (6%)</w:t>
            </w: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C9F9B9C"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11 (2%)</w:t>
            </w:r>
          </w:p>
        </w:tc>
      </w:tr>
      <w:tr w:rsidR="00CA7BD8" w:rsidRPr="00D14624" w14:paraId="1A4B00F0" w14:textId="77777777" w:rsidTr="001820A1">
        <w:trPr>
          <w:gridAfter w:val="1"/>
          <w:wAfter w:w="20" w:type="dxa"/>
          <w:trHeight w:val="340"/>
        </w:trPr>
        <w:tc>
          <w:tcPr>
            <w:tcW w:w="106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5AED408A" w14:textId="77777777" w:rsidR="00CA7BD8" w:rsidRPr="001820A1" w:rsidRDefault="00CA7BD8" w:rsidP="000839E7">
            <w:pPr>
              <w:rPr>
                <w:rFonts w:ascii="Times New Roman" w:hAnsi="Times New Roman" w:cs="Times New Roman"/>
                <w:sz w:val="22"/>
                <w:szCs w:val="22"/>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5AD1C2BA" w14:textId="77777777" w:rsidR="00CA7BD8" w:rsidRPr="001820A1" w:rsidRDefault="00CA7BD8" w:rsidP="000839E7">
            <w:pPr>
              <w:rPr>
                <w:rFonts w:ascii="Times New Roman" w:hAnsi="Times New Roman" w:cs="Times New Roman"/>
                <w:sz w:val="22"/>
                <w:szCs w:val="22"/>
              </w:rPr>
            </w:pPr>
          </w:p>
        </w:tc>
        <w:tc>
          <w:tcPr>
            <w:tcW w:w="1104"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3C284D2F" w14:textId="77777777" w:rsidR="00CA7BD8" w:rsidRPr="001820A1" w:rsidRDefault="00CA7BD8" w:rsidP="000839E7">
            <w:pPr>
              <w:rPr>
                <w:rFonts w:ascii="Times New Roman" w:hAnsi="Times New Roman" w:cs="Times New Roman"/>
                <w:sz w:val="22"/>
                <w:szCs w:val="22"/>
              </w:rPr>
            </w:pPr>
          </w:p>
        </w:tc>
        <w:tc>
          <w:tcPr>
            <w:tcW w:w="1039"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7125E853" w14:textId="77777777" w:rsidR="00CA7BD8" w:rsidRPr="001820A1" w:rsidRDefault="00CA7BD8" w:rsidP="000839E7">
            <w:pPr>
              <w:rPr>
                <w:rFonts w:ascii="Times New Roman" w:hAnsi="Times New Roman" w:cs="Times New Roman"/>
                <w:sz w:val="22"/>
                <w:szCs w:val="22"/>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564EB9B4" w14:textId="77777777" w:rsidR="00CA7BD8" w:rsidRPr="001820A1" w:rsidRDefault="00CA7BD8" w:rsidP="000839E7">
            <w:pPr>
              <w:rPr>
                <w:rFonts w:ascii="Times New Roman" w:hAnsi="Times New Roman" w:cs="Times New Roman"/>
                <w:sz w:val="22"/>
                <w:szCs w:val="22"/>
              </w:rPr>
            </w:pPr>
          </w:p>
        </w:tc>
        <w:tc>
          <w:tcPr>
            <w:tcW w:w="84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5370A7B" w14:textId="77777777" w:rsidR="00CA7BD8" w:rsidRPr="001820A1" w:rsidRDefault="00CA7BD8" w:rsidP="000839E7">
            <w:pPr>
              <w:pStyle w:val="TableStyle2A"/>
              <w:jc w:val="center"/>
              <w:rPr>
                <w:rFonts w:ascii="Times New Roman" w:hAnsi="Times New Roman" w:cs="Times New Roman"/>
                <w:sz w:val="22"/>
                <w:szCs w:val="22"/>
              </w:rPr>
            </w:pPr>
            <w:r w:rsidRPr="001820A1">
              <w:rPr>
                <w:rFonts w:ascii="Times New Roman" w:hAnsi="Times New Roman" w:cs="Times New Roman"/>
                <w:sz w:val="22"/>
                <w:szCs w:val="22"/>
              </w:rPr>
              <w:t>VIII</w:t>
            </w:r>
          </w:p>
        </w:tc>
        <w:tc>
          <w:tcPr>
            <w:tcW w:w="912"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B99CD3A" w14:textId="77777777" w:rsidR="00CA7BD8" w:rsidRPr="001820A1" w:rsidRDefault="00CA7BD8" w:rsidP="000839E7">
            <w:pPr>
              <w:rPr>
                <w:rFonts w:ascii="Times New Roman" w:hAnsi="Times New Roman" w:cs="Times New Roman"/>
                <w:sz w:val="22"/>
                <w:szCs w:val="22"/>
              </w:rPr>
            </w:pPr>
          </w:p>
        </w:tc>
        <w:tc>
          <w:tcPr>
            <w:tcW w:w="1084"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6662FAEA" w14:textId="77777777" w:rsidR="00CA7BD8" w:rsidRPr="001820A1" w:rsidRDefault="00CA7BD8" w:rsidP="000839E7">
            <w:pPr>
              <w:rPr>
                <w:rFonts w:ascii="Times New Roman" w:hAnsi="Times New Roman" w:cs="Times New Roman"/>
                <w:sz w:val="22"/>
                <w:szCs w:val="22"/>
              </w:rPr>
            </w:pP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7E40E2D5"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10 (2%)</w:t>
            </w:r>
          </w:p>
        </w:tc>
      </w:tr>
      <w:tr w:rsidR="00CA7BD8" w:rsidRPr="00D14624" w14:paraId="5499420B" w14:textId="77777777" w:rsidTr="00E35E9C">
        <w:trPr>
          <w:gridAfter w:val="1"/>
          <w:wAfter w:w="20" w:type="dxa"/>
          <w:trHeight w:val="228"/>
        </w:trPr>
        <w:tc>
          <w:tcPr>
            <w:tcW w:w="106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A6FBEE5" w14:textId="77777777" w:rsidR="00CA7BD8" w:rsidRPr="001820A1" w:rsidRDefault="00CA7BD8" w:rsidP="000839E7">
            <w:pPr>
              <w:rPr>
                <w:rFonts w:ascii="Times New Roman" w:hAnsi="Times New Roman" w:cs="Times New Roman"/>
                <w:sz w:val="22"/>
                <w:szCs w:val="22"/>
              </w:rPr>
            </w:pPr>
            <w:r w:rsidRPr="001820A1">
              <w:rPr>
                <w:rFonts w:ascii="Times New Roman" w:hAnsi="Times New Roman" w:cs="Times New Roman"/>
                <w:b/>
                <w:bCs/>
                <w:i/>
                <w:iCs/>
                <w:sz w:val="22"/>
                <w:szCs w:val="22"/>
              </w:rPr>
              <w:t>Totale per genere</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3BFB2A83"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450 (78%)</w:t>
            </w:r>
          </w:p>
        </w:tc>
        <w:tc>
          <w:tcPr>
            <w:tcW w:w="1104"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D9ABCD5"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127 (22%)</w:t>
            </w:r>
          </w:p>
        </w:tc>
        <w:tc>
          <w:tcPr>
            <w:tcW w:w="1039"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44AF7AB"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190 (87%)</w:t>
            </w:r>
          </w:p>
        </w:tc>
        <w:tc>
          <w:tcPr>
            <w:tcW w:w="998"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6B0C2F1D"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29</w:t>
            </w:r>
            <w:r w:rsidR="00E35E9C" w:rsidRPr="001820A1">
              <w:rPr>
                <w:rFonts w:ascii="Times New Roman" w:hAnsi="Times New Roman" w:cs="Times New Roman"/>
                <w:sz w:val="22"/>
                <w:szCs w:val="22"/>
              </w:rPr>
              <w:t xml:space="preserve"> </w:t>
            </w:r>
            <w:r w:rsidRPr="001820A1">
              <w:rPr>
                <w:rFonts w:ascii="Times New Roman" w:hAnsi="Times New Roman" w:cs="Times New Roman"/>
                <w:sz w:val="22"/>
                <w:szCs w:val="22"/>
              </w:rPr>
              <w:t>(13%)</w:t>
            </w:r>
          </w:p>
        </w:tc>
        <w:tc>
          <w:tcPr>
            <w:tcW w:w="84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D785D20" w14:textId="77777777" w:rsidR="00CA7BD8" w:rsidRPr="001820A1" w:rsidRDefault="00CA7BD8" w:rsidP="000839E7">
            <w:pPr>
              <w:rPr>
                <w:rFonts w:ascii="Times New Roman" w:hAnsi="Times New Roman" w:cs="Times New Roman"/>
                <w:sz w:val="22"/>
                <w:szCs w:val="22"/>
              </w:rPr>
            </w:pPr>
          </w:p>
        </w:tc>
        <w:tc>
          <w:tcPr>
            <w:tcW w:w="912"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D997C8E"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51 (18%)</w:t>
            </w:r>
          </w:p>
        </w:tc>
        <w:tc>
          <w:tcPr>
            <w:tcW w:w="1084"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44C0497"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238</w:t>
            </w:r>
            <w:r w:rsidR="00E35E9C" w:rsidRPr="001820A1">
              <w:rPr>
                <w:rFonts w:ascii="Times New Roman" w:hAnsi="Times New Roman" w:cs="Times New Roman"/>
                <w:sz w:val="22"/>
                <w:szCs w:val="22"/>
              </w:rPr>
              <w:t xml:space="preserve"> </w:t>
            </w:r>
            <w:r w:rsidRPr="001820A1">
              <w:rPr>
                <w:rFonts w:ascii="Times New Roman" w:hAnsi="Times New Roman" w:cs="Times New Roman"/>
                <w:sz w:val="22"/>
                <w:szCs w:val="22"/>
              </w:rPr>
              <w:t>(82%)</w:t>
            </w: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358E6C1"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622</w:t>
            </w:r>
            <w:r w:rsidR="00E35E9C" w:rsidRPr="001820A1">
              <w:rPr>
                <w:rFonts w:ascii="Times New Roman" w:hAnsi="Times New Roman" w:cs="Times New Roman"/>
                <w:sz w:val="22"/>
                <w:szCs w:val="22"/>
              </w:rPr>
              <w:t xml:space="preserve"> </w:t>
            </w:r>
            <w:r w:rsidRPr="001820A1">
              <w:rPr>
                <w:rFonts w:ascii="Times New Roman" w:hAnsi="Times New Roman" w:cs="Times New Roman"/>
                <w:sz w:val="22"/>
                <w:szCs w:val="22"/>
              </w:rPr>
              <w:t>(95%)</w:t>
            </w:r>
          </w:p>
        </w:tc>
      </w:tr>
      <w:tr w:rsidR="00CA7BD8" w:rsidRPr="00D14624" w14:paraId="15C9EBCD" w14:textId="77777777" w:rsidTr="00E35E9C">
        <w:trPr>
          <w:gridAfter w:val="1"/>
          <w:wAfter w:w="20" w:type="dxa"/>
          <w:trHeight w:val="228"/>
        </w:trPr>
        <w:tc>
          <w:tcPr>
            <w:tcW w:w="106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6878839" w14:textId="77777777" w:rsidR="00CA7BD8" w:rsidRPr="001820A1" w:rsidRDefault="00CA7BD8" w:rsidP="000839E7">
            <w:pPr>
              <w:rPr>
                <w:rFonts w:ascii="Times New Roman" w:hAnsi="Times New Roman" w:cs="Times New Roman"/>
                <w:sz w:val="22"/>
                <w:szCs w:val="22"/>
              </w:rPr>
            </w:pPr>
            <w:r w:rsidRPr="001820A1">
              <w:rPr>
                <w:rFonts w:ascii="Times New Roman" w:hAnsi="Times New Roman" w:cs="Times New Roman"/>
                <w:b/>
                <w:i/>
                <w:sz w:val="22"/>
                <w:szCs w:val="22"/>
              </w:rPr>
              <w:t>Totale</w:t>
            </w:r>
          </w:p>
        </w:tc>
        <w:tc>
          <w:tcPr>
            <w:tcW w:w="2097"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6881BF95"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577</w:t>
            </w:r>
          </w:p>
        </w:tc>
        <w:tc>
          <w:tcPr>
            <w:tcW w:w="2037"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549F9EE7"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219</w:t>
            </w:r>
          </w:p>
        </w:tc>
        <w:tc>
          <w:tcPr>
            <w:tcW w:w="84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0A9FF3B7" w14:textId="77777777" w:rsidR="00CA7BD8" w:rsidRPr="001820A1" w:rsidRDefault="00CA7BD8" w:rsidP="000839E7">
            <w:pPr>
              <w:rPr>
                <w:rFonts w:ascii="Times New Roman" w:hAnsi="Times New Roman" w:cs="Times New Roman"/>
                <w:sz w:val="22"/>
                <w:szCs w:val="22"/>
              </w:rPr>
            </w:pPr>
          </w:p>
        </w:tc>
        <w:tc>
          <w:tcPr>
            <w:tcW w:w="1996"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35556742"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289</w:t>
            </w:r>
          </w:p>
        </w:tc>
        <w:tc>
          <w:tcPr>
            <w:tcW w:w="210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28671629" w14:textId="77777777" w:rsidR="00CA7BD8" w:rsidRPr="001820A1" w:rsidRDefault="00CA7BD8" w:rsidP="000839E7">
            <w:pPr>
              <w:jc w:val="center"/>
              <w:rPr>
                <w:rFonts w:ascii="Times New Roman" w:hAnsi="Times New Roman" w:cs="Times New Roman"/>
                <w:sz w:val="22"/>
                <w:szCs w:val="22"/>
              </w:rPr>
            </w:pPr>
            <w:r w:rsidRPr="001820A1">
              <w:rPr>
                <w:rFonts w:ascii="Times New Roman" w:hAnsi="Times New Roman" w:cs="Times New Roman"/>
                <w:sz w:val="22"/>
                <w:szCs w:val="22"/>
              </w:rPr>
              <w:t>657</w:t>
            </w:r>
          </w:p>
        </w:tc>
      </w:tr>
    </w:tbl>
    <w:p w14:paraId="7E67E731" w14:textId="77777777" w:rsidR="00CA7BD8" w:rsidRPr="00D14624" w:rsidRDefault="00CA7BD8" w:rsidP="000839E7">
      <w:pPr>
        <w:jc w:val="both"/>
        <w:rPr>
          <w:rFonts w:ascii="Times New Roman" w:hAnsi="Times New Roman" w:cs="Times New Roman"/>
        </w:rPr>
      </w:pPr>
    </w:p>
    <w:p w14:paraId="731D4D31"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spacing w:val="-10"/>
        </w:rPr>
        <w:t xml:space="preserve">3) </w:t>
      </w:r>
      <w:r w:rsidRPr="002025B6">
        <w:rPr>
          <w:rFonts w:ascii="Times New Roman" w:hAnsi="Times New Roman" w:cs="Times New Roman"/>
          <w:b/>
          <w:spacing w:val="-10"/>
        </w:rPr>
        <w:t>La disparità di genere non è diminuita nel tempo.</w:t>
      </w:r>
      <w:r w:rsidRPr="002025B6">
        <w:rPr>
          <w:rFonts w:ascii="Times New Roman" w:hAnsi="Times New Roman" w:cs="Times New Roman"/>
          <w:spacing w:val="-10"/>
        </w:rPr>
        <w:t xml:space="preserve"> </w:t>
      </w:r>
      <w:r w:rsidRPr="002025B6">
        <w:rPr>
          <w:rFonts w:ascii="Times New Roman" w:hAnsi="Times New Roman" w:cs="Times New Roman"/>
          <w:b/>
          <w:spacing w:val="-10"/>
        </w:rPr>
        <w:t>Tra i ricercatori ad esempio, le donne sono oggi il 25% nella fascia di età tra 50-54 anni, e scendono al 23% sotto i 49 anni,</w:t>
      </w:r>
      <w:r w:rsidRPr="002025B6">
        <w:rPr>
          <w:rFonts w:ascii="Times New Roman" w:hAnsi="Times New Roman" w:cs="Times New Roman"/>
          <w:spacing w:val="-10"/>
        </w:rPr>
        <w:t xml:space="preserve"> vedi figura 1. Le assunzioni di ricercatrici restano poche ma questo non è dovuto alla carenza di donne che intraprendono gli studi in fisica: le donne con laurea magistrale e associazione INFN sono il 35-38% del totale, numero stabile da quando viene riportato nei nostri database ovvero dal 2002; le donne con dottorato e associazione INFN sono il 26-30%, percentuale confrontabile con quella delle donne con dottorato in fisica in Italia, che da dati del MIUR è il 28% dal 1998. Dalla laurea al dottorato, quindi, si perde 1 donna su 4, ma il numero di donne al dottorato è ancora abbastanza alto, c'è una donna ogni 2.6 uomini, mentre tra i ricercatori assunti a tempo determinato c'è solo  una donna ogni 3.5 uomini.</w:t>
      </w:r>
    </w:p>
    <w:p w14:paraId="46273D86" w14:textId="77777777" w:rsidR="00CA7BD8" w:rsidRPr="002025B6" w:rsidRDefault="00CA7BD8" w:rsidP="000839E7">
      <w:pPr>
        <w:jc w:val="both"/>
        <w:rPr>
          <w:rFonts w:ascii="Times New Roman" w:hAnsi="Times New Roman" w:cs="Times New Roman"/>
          <w:spacing w:val="-10"/>
        </w:rPr>
      </w:pPr>
    </w:p>
    <w:p w14:paraId="6A7006BC"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spacing w:val="-10"/>
        </w:rPr>
        <w:t xml:space="preserve">4) </w:t>
      </w:r>
      <w:r w:rsidRPr="002025B6">
        <w:rPr>
          <w:rFonts w:ascii="Times New Roman" w:hAnsi="Times New Roman" w:cs="Times New Roman"/>
          <w:b/>
          <w:spacing w:val="-10"/>
        </w:rPr>
        <w:t>La probabilità di una donna di essere promossa dirigente è meno della metà di quella di un uomo.</w:t>
      </w:r>
      <w:r w:rsidRPr="002025B6">
        <w:rPr>
          <w:rFonts w:ascii="Times New Roman" w:hAnsi="Times New Roman" w:cs="Times New Roman"/>
          <w:spacing w:val="-10"/>
        </w:rPr>
        <w:t xml:space="preserve"> Nel caso del personale ricercatore, il numero di uomini dirigenti di ricerca è 92, pari al 20% degli uomini in tale profilo, mentre </w:t>
      </w:r>
      <w:r w:rsidRPr="002025B6">
        <w:rPr>
          <w:rFonts w:ascii="Times New Roman" w:hAnsi="Times New Roman" w:cs="Times New Roman"/>
          <w:b/>
          <w:spacing w:val="-10"/>
        </w:rPr>
        <w:t>vi sono solo 11 donne dirigenti di ricerca su 127 ricercatrici, ovvero l’8.7%,</w:t>
      </w:r>
      <w:r w:rsidRPr="002025B6">
        <w:rPr>
          <w:rFonts w:ascii="Times New Roman" w:hAnsi="Times New Roman" w:cs="Times New Roman"/>
          <w:spacing w:val="-10"/>
        </w:rPr>
        <w:t xml:space="preserve"> e sono concentrate </w:t>
      </w:r>
      <w:r w:rsidR="00766007" w:rsidRPr="002025B6">
        <w:rPr>
          <w:rFonts w:ascii="Times New Roman" w:hAnsi="Times New Roman" w:cs="Times New Roman"/>
          <w:spacing w:val="-10"/>
        </w:rPr>
        <w:t>nel</w:t>
      </w:r>
      <w:r w:rsidRPr="002025B6">
        <w:rPr>
          <w:rFonts w:ascii="Times New Roman" w:hAnsi="Times New Roman" w:cs="Times New Roman"/>
          <w:spacing w:val="-10"/>
        </w:rPr>
        <w:t xml:space="preserve"> Lazio (5 su 11). </w:t>
      </w:r>
      <w:r w:rsidRPr="002025B6">
        <w:rPr>
          <w:rFonts w:ascii="Times New Roman" w:hAnsi="Times New Roman" w:cs="Times New Roman"/>
          <w:b/>
          <w:spacing w:val="-10"/>
        </w:rPr>
        <w:t xml:space="preserve"> Tra i tecnologi solo due donne sono dirigenti, rappresentando solo il 7% delle donne in quel profilo</w:t>
      </w:r>
      <w:r w:rsidRPr="002025B6">
        <w:rPr>
          <w:rFonts w:ascii="Times New Roman" w:hAnsi="Times New Roman" w:cs="Times New Roman"/>
          <w:spacing w:val="-10"/>
        </w:rPr>
        <w:t xml:space="preserve">, mentre la percentuale maschile in tale profilo è pari al 19% (36 uomini). </w:t>
      </w:r>
    </w:p>
    <w:p w14:paraId="66BF37F5"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spacing w:val="-10"/>
        </w:rPr>
        <w:t>Questa disparità non è attribuibile ad una presunta differenza fra i due generi nella distribuzione per età, distribuzioni complessivamente analoghe (vedi fig</w:t>
      </w:r>
      <w:r w:rsidR="002025B6">
        <w:rPr>
          <w:rFonts w:ascii="Times New Roman" w:hAnsi="Times New Roman" w:cs="Times New Roman"/>
          <w:spacing w:val="-10"/>
        </w:rPr>
        <w:t>ura</w:t>
      </w:r>
      <w:r w:rsidRPr="002025B6">
        <w:rPr>
          <w:rFonts w:ascii="Times New Roman" w:hAnsi="Times New Roman" w:cs="Times New Roman"/>
          <w:spacing w:val="-10"/>
        </w:rPr>
        <w:t xml:space="preserve"> 1), né a un ritardo nella carriera delle donne poiché le frazioni di uomini e donne nel III livello (vedi tab</w:t>
      </w:r>
      <w:r w:rsidR="002025B6">
        <w:rPr>
          <w:rFonts w:ascii="Times New Roman" w:hAnsi="Times New Roman" w:cs="Times New Roman"/>
          <w:spacing w:val="-10"/>
        </w:rPr>
        <w:t>ella</w:t>
      </w:r>
      <w:r w:rsidRPr="002025B6">
        <w:rPr>
          <w:rFonts w:ascii="Times New Roman" w:hAnsi="Times New Roman" w:cs="Times New Roman"/>
          <w:spacing w:val="-10"/>
        </w:rPr>
        <w:t xml:space="preserve"> 1) sono confrontabili per entrambi i profili. Di fatto le donne, arrivate al II livello, non sono promosse al I livello, </w:t>
      </w:r>
      <w:r w:rsidRPr="002025B6">
        <w:rPr>
          <w:rFonts w:ascii="Times New Roman" w:hAnsi="Times New Roman" w:cs="Times New Roman"/>
          <w:b/>
          <w:spacing w:val="-10"/>
        </w:rPr>
        <w:t>come è dimostrato ad esempio dal fatto che negli ultimi 16 anni nessuna donna ricercatrice, tra i dipendenti, è stata promossa dirigente a fronte di 15 uomini.</w:t>
      </w:r>
      <w:r w:rsidRPr="002025B6">
        <w:rPr>
          <w:rFonts w:ascii="Times New Roman" w:hAnsi="Times New Roman" w:cs="Times New Roman"/>
          <w:spacing w:val="-10"/>
        </w:rPr>
        <w:t xml:space="preserve"> Ne consegue che la paga media di una ricercatrice è inferiore di 3.400 euro l’anno rispetto alla paga di un ricercatore uomo, pari a un gap retributivo del 7%.</w:t>
      </w:r>
    </w:p>
    <w:p w14:paraId="50D28DCA" w14:textId="77777777" w:rsidR="00CA7BD8" w:rsidRPr="002025B6" w:rsidRDefault="00CA7BD8" w:rsidP="000839E7">
      <w:pPr>
        <w:jc w:val="both"/>
        <w:rPr>
          <w:rFonts w:ascii="Times New Roman" w:eastAsia="Times New Roman" w:hAnsi="Times New Roman" w:cs="Times New Roman"/>
          <w:spacing w:val="-10"/>
        </w:rPr>
      </w:pPr>
      <w:r w:rsidRPr="002025B6">
        <w:rPr>
          <w:rFonts w:ascii="Times New Roman" w:hAnsi="Times New Roman" w:cs="Times New Roman"/>
          <w:spacing w:val="-10"/>
        </w:rPr>
        <w:t>Questa disparità nasce piuttosto da una difficoltà nel riconoscimento dell’eccellenza nelle donne, che è dovuta all’esistenza di pregiudizi inconsapevoli rispetto ai quali gli ambienti accademici e della ricerca non sono immuni</w:t>
      </w:r>
      <w:r w:rsidR="001820A1">
        <w:rPr>
          <w:rFonts w:ascii="Times New Roman" w:hAnsi="Times New Roman" w:cs="Times New Roman"/>
          <w:spacing w:val="-10"/>
        </w:rPr>
        <w:t>.</w:t>
      </w:r>
      <w:r w:rsidRPr="002025B6">
        <w:rPr>
          <w:rStyle w:val="Rimandonotaapidipagina"/>
          <w:rFonts w:ascii="Times New Roman" w:hAnsi="Times New Roman" w:cs="Times New Roman"/>
          <w:spacing w:val="-10"/>
        </w:rPr>
        <w:footnoteReference w:id="3"/>
      </w:r>
      <w:r w:rsidRPr="002025B6">
        <w:rPr>
          <w:rFonts w:ascii="Times New Roman" w:hAnsi="Times New Roman" w:cs="Times New Roman"/>
          <w:spacing w:val="-10"/>
        </w:rPr>
        <w:t xml:space="preserve"> </w:t>
      </w:r>
      <w:r w:rsidRPr="002025B6">
        <w:rPr>
          <w:rFonts w:ascii="Times New Roman" w:eastAsia="Times New Roman" w:hAnsi="Times New Roman" w:cs="Times New Roman"/>
          <w:spacing w:val="-10"/>
        </w:rPr>
        <w:t xml:space="preserve">Per superare tali pregiudizi, sarebbe opportuno in/formare il personale delle commissioni di selezione perché solo la </w:t>
      </w:r>
      <w:r w:rsidRPr="002025B6">
        <w:rPr>
          <w:rFonts w:ascii="Times New Roman" w:eastAsia="Times New Roman" w:hAnsi="Times New Roman" w:cs="Times New Roman"/>
          <w:spacing w:val="-10"/>
        </w:rPr>
        <w:lastRenderedPageBreak/>
        <w:t>consapevolezza può mitigare questa discriminazione.</w:t>
      </w:r>
      <w:r w:rsidRPr="002025B6">
        <w:rPr>
          <w:rFonts w:ascii="Times New Roman" w:hAnsi="Times New Roman" w:cs="Times New Roman"/>
          <w:spacing w:val="-10"/>
        </w:rPr>
        <w:t xml:space="preserve"> </w:t>
      </w:r>
      <w:r w:rsidRPr="002025B6">
        <w:rPr>
          <w:rFonts w:ascii="Times New Roman" w:hAnsi="Times New Roman" w:cs="Times New Roman"/>
          <w:b/>
          <w:spacing w:val="-10"/>
        </w:rPr>
        <w:t xml:space="preserve">Il riconoscimento e la rimozione </w:t>
      </w:r>
      <w:r w:rsidRPr="002025B6">
        <w:rPr>
          <w:rFonts w:ascii="Times New Roman" w:eastAsia="Times New Roman" w:hAnsi="Times New Roman" w:cs="Times New Roman"/>
          <w:b/>
          <w:spacing w:val="-10"/>
        </w:rPr>
        <w:t xml:space="preserve">di ostacoli che limitano l'assunzione e la promozione di donne </w:t>
      </w:r>
      <w:r w:rsidRPr="002025B6">
        <w:rPr>
          <w:rFonts w:ascii="Times New Roman" w:hAnsi="Times New Roman" w:cs="Times New Roman"/>
          <w:b/>
          <w:spacing w:val="-10"/>
        </w:rPr>
        <w:t>è un problema che l’Ente deve affrontare.</w:t>
      </w:r>
      <w:r w:rsidRPr="002025B6">
        <w:rPr>
          <w:rFonts w:ascii="Times New Roman" w:hAnsi="Times New Roman" w:cs="Times New Roman"/>
          <w:b/>
          <w:spacing w:val="-10"/>
          <w:vertAlign w:val="superscript"/>
        </w:rPr>
        <w:t xml:space="preserve"> </w:t>
      </w:r>
      <w:r w:rsidRPr="002025B6">
        <w:rPr>
          <w:rStyle w:val="Rimandonotaapidipagina"/>
          <w:rFonts w:ascii="Times New Roman" w:hAnsi="Times New Roman" w:cs="Times New Roman"/>
          <w:b/>
          <w:spacing w:val="-10"/>
        </w:rPr>
        <w:footnoteReference w:id="4"/>
      </w:r>
      <w:r w:rsidRPr="002025B6">
        <w:rPr>
          <w:rFonts w:ascii="Times New Roman" w:hAnsi="Times New Roman" w:cs="Times New Roman"/>
          <w:b/>
          <w:spacing w:val="-10"/>
        </w:rPr>
        <w:t xml:space="preserve"> </w:t>
      </w:r>
    </w:p>
    <w:p w14:paraId="38966BC7" w14:textId="77777777" w:rsidR="00CA7BD8" w:rsidRPr="002025B6" w:rsidRDefault="00CA7BD8" w:rsidP="000839E7">
      <w:pPr>
        <w:pStyle w:val="Body2"/>
        <w:spacing w:line="100" w:lineRule="atLeast"/>
        <w:jc w:val="both"/>
        <w:rPr>
          <w:rFonts w:ascii="Times New Roman" w:eastAsia="Times New Roman" w:hAnsi="Times New Roman" w:cs="Times New Roman"/>
          <w:spacing w:val="-10"/>
          <w:sz w:val="24"/>
          <w:szCs w:val="24"/>
        </w:rPr>
      </w:pPr>
    </w:p>
    <w:p w14:paraId="7DB1929F"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spacing w:val="-10"/>
        </w:rPr>
        <w:t xml:space="preserve">5) </w:t>
      </w:r>
      <w:r w:rsidRPr="002025B6">
        <w:rPr>
          <w:rFonts w:ascii="Times New Roman" w:hAnsi="Times New Roman" w:cs="Times New Roman"/>
          <w:b/>
          <w:spacing w:val="-10"/>
        </w:rPr>
        <w:t>Esiste una forte disparità della presenza femminile nelle diverse commissioni scientifiche.</w:t>
      </w:r>
      <w:r w:rsidRPr="002025B6">
        <w:rPr>
          <w:rFonts w:ascii="Times New Roman" w:hAnsi="Times New Roman" w:cs="Times New Roman"/>
          <w:spacing w:val="-10"/>
        </w:rPr>
        <w:t xml:space="preserve"> La frazione femminile di personale dipendente ricercatore/tecnologo va dall’11% in CNS4 al 32% in CNS2; tra gli associati va dal 14% in CNS4 al 30% in CNS5. Le percentuali femminili sono tipicamente più alte tra i coordinatori e i responsabili nazionali (tranne che per la CSN4). Questo fenomeno, se da una parte testimonia che il lavoro delle donne è riconosciuto, dall’altra sottolinea come la presenza femminile sia maggiore nei ruoli che stanno diventando sempre più onerosi. </w:t>
      </w:r>
    </w:p>
    <w:p w14:paraId="2052DC18"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spacing w:val="-10"/>
        </w:rPr>
        <w:t xml:space="preserve">Significative differenze fra le commissioni si riscontrano anche per quanto riguarda la frazione di donne nel percorso formativo (va sottolineato che tali percentuali sono sempre maggiori rispetto a quelle relative al personale strutturato, sia esso dipendente o associato): per esempio, le donne che svolgono tesi magistrali in CNS4 sono il 24% e salgono addirittura al 41% in CNS5. Queste disparità nelle diverse commissioni, se da una parte sembrano riflettere una diversa capacità di attrarre e valorizzare le donne, sono segnali di problematiche su cui la comunità scientifica dovrebbe interrogarsi. </w:t>
      </w:r>
    </w:p>
    <w:p w14:paraId="25D241CA" w14:textId="77777777" w:rsidR="00CA7BD8" w:rsidRPr="002025B6" w:rsidRDefault="00CA7BD8" w:rsidP="000839E7">
      <w:pPr>
        <w:pStyle w:val="Body2"/>
        <w:spacing w:line="100" w:lineRule="atLeast"/>
        <w:jc w:val="both"/>
        <w:rPr>
          <w:rFonts w:ascii="Times New Roman" w:hAnsi="Times New Roman" w:cs="Times New Roman"/>
          <w:spacing w:val="-10"/>
          <w:sz w:val="24"/>
          <w:szCs w:val="24"/>
        </w:rPr>
      </w:pPr>
    </w:p>
    <w:p w14:paraId="0E329749" w14:textId="77777777" w:rsidR="00CA7BD8" w:rsidRPr="002025B6" w:rsidRDefault="00CA7BD8" w:rsidP="000839E7">
      <w:pPr>
        <w:pStyle w:val="Body2"/>
        <w:spacing w:line="100" w:lineRule="atLeast"/>
        <w:jc w:val="both"/>
        <w:rPr>
          <w:rFonts w:ascii="Times New Roman" w:hAnsi="Times New Roman" w:cs="Times New Roman"/>
          <w:spacing w:val="-10"/>
          <w:sz w:val="24"/>
          <w:szCs w:val="24"/>
        </w:rPr>
      </w:pPr>
      <w:r w:rsidRPr="002025B6">
        <w:rPr>
          <w:rFonts w:ascii="Times New Roman" w:hAnsi="Times New Roman" w:cs="Times New Roman"/>
          <w:spacing w:val="-10"/>
          <w:sz w:val="24"/>
          <w:szCs w:val="24"/>
        </w:rPr>
        <w:t>6)</w:t>
      </w:r>
      <w:r w:rsidRPr="002025B6">
        <w:rPr>
          <w:rFonts w:ascii="Times New Roman" w:hAnsi="Times New Roman" w:cs="Times New Roman"/>
          <w:b/>
          <w:spacing w:val="-10"/>
          <w:sz w:val="24"/>
          <w:szCs w:val="24"/>
        </w:rPr>
        <w:t>Non tutte le commissioni e i comitati includono ancora una presenza femminile.</w:t>
      </w:r>
      <w:r w:rsidRPr="002025B6">
        <w:rPr>
          <w:rFonts w:ascii="Times New Roman" w:hAnsi="Times New Roman" w:cs="Times New Roman"/>
          <w:spacing w:val="-10"/>
          <w:sz w:val="24"/>
          <w:szCs w:val="24"/>
        </w:rPr>
        <w:t xml:space="preserve"> A tale dato si aggiunge </w:t>
      </w:r>
      <w:r w:rsidRPr="002025B6">
        <w:rPr>
          <w:rFonts w:ascii="Times New Roman" w:eastAsia="Times New Roman" w:hAnsi="Times New Roman" w:cs="Times New Roman"/>
          <w:spacing w:val="-10"/>
          <w:sz w:val="24"/>
          <w:szCs w:val="24"/>
        </w:rPr>
        <w:t>che la presenza delle donne negli Organi Direttivi rimane scarsa: nella Giunta (1 donna su 6 componenti) come anche nel Consiglio Direttivo (4 donne su 24 componenti).</w:t>
      </w:r>
      <w:r w:rsidRPr="002025B6">
        <w:rPr>
          <w:rFonts w:ascii="Times New Roman" w:hAnsi="Times New Roman" w:cs="Times New Roman"/>
          <w:bCs/>
          <w:spacing w:val="-10"/>
          <w:sz w:val="24"/>
          <w:szCs w:val="24"/>
        </w:rPr>
        <w:t xml:space="preserve"> </w:t>
      </w:r>
      <w:r w:rsidRPr="002025B6">
        <w:rPr>
          <w:rFonts w:ascii="Times New Roman" w:hAnsi="Times New Roman" w:cs="Times New Roman"/>
          <w:b/>
          <w:bCs/>
          <w:spacing w:val="-10"/>
          <w:sz w:val="24"/>
          <w:szCs w:val="24"/>
        </w:rPr>
        <w:t>Andrebbe prevista una procedura</w:t>
      </w:r>
      <w:r w:rsidRPr="002025B6">
        <w:rPr>
          <w:rFonts w:ascii="Times New Roman" w:hAnsi="Times New Roman" w:cs="Times New Roman"/>
          <w:spacing w:val="-10"/>
          <w:sz w:val="24"/>
          <w:szCs w:val="24"/>
        </w:rPr>
        <w:t xml:space="preserve"> che garantisca l'equilibrio di genere in tutte le commissioni e i comitati dell'ente, nonché una maggiore attenzione alla presenza delle donne negli Organi Direttivi. </w:t>
      </w:r>
    </w:p>
    <w:p w14:paraId="45E28823" w14:textId="77777777" w:rsidR="00CA7BD8" w:rsidRPr="002025B6" w:rsidRDefault="00CA7BD8" w:rsidP="000839E7">
      <w:pPr>
        <w:pStyle w:val="Body2"/>
        <w:spacing w:line="100" w:lineRule="atLeast"/>
        <w:jc w:val="both"/>
        <w:rPr>
          <w:rFonts w:ascii="Times New Roman" w:hAnsi="Times New Roman" w:cs="Times New Roman"/>
          <w:spacing w:val="-10"/>
          <w:sz w:val="24"/>
          <w:szCs w:val="24"/>
        </w:rPr>
      </w:pPr>
    </w:p>
    <w:p w14:paraId="1E8D7E88" w14:textId="77777777" w:rsidR="00CA7BD8" w:rsidRPr="002025B6" w:rsidRDefault="00CA7BD8" w:rsidP="000839E7">
      <w:pPr>
        <w:pStyle w:val="Body2"/>
        <w:spacing w:line="100" w:lineRule="atLeast"/>
        <w:jc w:val="both"/>
        <w:rPr>
          <w:rFonts w:ascii="Times New Roman" w:hAnsi="Times New Roman" w:cs="Times New Roman"/>
          <w:spacing w:val="-10"/>
          <w:sz w:val="24"/>
          <w:szCs w:val="24"/>
        </w:rPr>
      </w:pPr>
      <w:r w:rsidRPr="002025B6">
        <w:rPr>
          <w:rFonts w:ascii="Times New Roman" w:hAnsi="Times New Roman" w:cs="Times New Roman"/>
          <w:bCs/>
          <w:spacing w:val="-10"/>
          <w:sz w:val="24"/>
          <w:szCs w:val="24"/>
        </w:rPr>
        <w:t>7)</w:t>
      </w:r>
      <w:r w:rsidRPr="002025B6">
        <w:rPr>
          <w:rFonts w:ascii="Times New Roman" w:hAnsi="Times New Roman" w:cs="Times New Roman"/>
          <w:b/>
          <w:bCs/>
          <w:spacing w:val="-10"/>
          <w:sz w:val="24"/>
          <w:szCs w:val="24"/>
        </w:rPr>
        <w:t xml:space="preserve"> Anche nelle posizioni di responsabilità non scientifica, le donne sono scarsamente rappresentate.</w:t>
      </w:r>
      <w:r w:rsidRPr="002025B6">
        <w:rPr>
          <w:rFonts w:ascii="Times New Roman" w:hAnsi="Times New Roman" w:cs="Times New Roman"/>
          <w:spacing w:val="-10"/>
          <w:sz w:val="24"/>
          <w:szCs w:val="24"/>
        </w:rPr>
        <w:t xml:space="preserve"> Da uno studio del CUG del 2013, è risultato che la responsabilità dei servizi amministrativi, tecnici e delle sicurezze è affidata </w:t>
      </w:r>
      <w:r w:rsidR="002025B6" w:rsidRPr="002025B6">
        <w:rPr>
          <w:rFonts w:ascii="Times New Roman" w:hAnsi="Times New Roman" w:cs="Times New Roman"/>
          <w:spacing w:val="-10"/>
          <w:sz w:val="24"/>
          <w:szCs w:val="24"/>
        </w:rPr>
        <w:t>a</w:t>
      </w:r>
      <w:r w:rsidRPr="002025B6">
        <w:rPr>
          <w:rFonts w:ascii="Times New Roman" w:hAnsi="Times New Roman" w:cs="Times New Roman"/>
          <w:spacing w:val="-10"/>
          <w:sz w:val="24"/>
          <w:szCs w:val="24"/>
        </w:rPr>
        <w:t xml:space="preserve"> una donna solo nel 25% dei casi. Nei laboratori, nessuna divisione ha come responsabile una donna e su 45 reparti c</w:t>
      </w:r>
      <w:r w:rsidRPr="002025B6">
        <w:rPr>
          <w:rFonts w:ascii="Times New Roman" w:hAnsi="Times New Roman" w:cs="Times New Roman"/>
          <w:spacing w:val="-10"/>
          <w:sz w:val="24"/>
          <w:szCs w:val="24"/>
          <w:lang w:val="fr-FR"/>
        </w:rPr>
        <w:t>’</w:t>
      </w:r>
      <w:r w:rsidRPr="002025B6">
        <w:rPr>
          <w:rFonts w:ascii="Times New Roman" w:hAnsi="Times New Roman" w:cs="Times New Roman"/>
          <w:spacing w:val="-10"/>
          <w:sz w:val="24"/>
          <w:szCs w:val="24"/>
        </w:rPr>
        <w:t>è solo una responsabile donna.</w:t>
      </w:r>
    </w:p>
    <w:p w14:paraId="353BFCC0" w14:textId="77777777" w:rsidR="00CA7BD8" w:rsidRPr="002025B6" w:rsidRDefault="00CA7BD8" w:rsidP="000839E7">
      <w:pPr>
        <w:pStyle w:val="Body2"/>
        <w:spacing w:line="100" w:lineRule="atLeast"/>
        <w:jc w:val="both"/>
        <w:rPr>
          <w:rFonts w:ascii="Times New Roman" w:hAnsi="Times New Roman" w:cs="Times New Roman"/>
          <w:spacing w:val="-10"/>
          <w:sz w:val="24"/>
          <w:szCs w:val="24"/>
        </w:rPr>
      </w:pPr>
    </w:p>
    <w:p w14:paraId="595C2751"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spacing w:val="-10"/>
        </w:rPr>
        <w:t xml:space="preserve">8) </w:t>
      </w:r>
      <w:r w:rsidRPr="002025B6">
        <w:rPr>
          <w:rFonts w:ascii="Times New Roman" w:hAnsi="Times New Roman" w:cs="Times New Roman"/>
          <w:b/>
          <w:spacing w:val="-10"/>
        </w:rPr>
        <w:t>Nell’Ente vi è un fortissimo calo dei giovani che ne mette a rischio il funzionamento e rende critico il passaggio di competenze fra generazioni.</w:t>
      </w:r>
      <w:r w:rsidRPr="002025B6">
        <w:rPr>
          <w:rFonts w:ascii="Times New Roman" w:hAnsi="Times New Roman" w:cs="Times New Roman"/>
          <w:spacing w:val="-10"/>
        </w:rPr>
        <w:t xml:space="preserve"> L’età media del personale è oggi di circa 50 anni, essendo aumentata di circa 5 punti nell'arco di 10 anni. La frazione di personale sotto i 40 anni è molto bassa, per i tecnici è il 10% (era il 35% al 2003), per gli amministrativi è il 10% (era il 39%), per i ricercatori è il 6% (era il 20%), per i tecnologi è il 4% (era il 31%).</w:t>
      </w:r>
    </w:p>
    <w:p w14:paraId="3F5D38E6" w14:textId="77777777" w:rsidR="00CA7BD8" w:rsidRPr="002025B6" w:rsidRDefault="00CA7BD8" w:rsidP="000839E7">
      <w:pPr>
        <w:spacing w:line="120" w:lineRule="atLeast"/>
        <w:jc w:val="both"/>
        <w:rPr>
          <w:rFonts w:ascii="Times New Roman" w:hAnsi="Times New Roman" w:cs="Times New Roman"/>
          <w:spacing w:val="-10"/>
        </w:rPr>
      </w:pPr>
    </w:p>
    <w:p w14:paraId="765CADA9"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spacing w:val="-10"/>
        </w:rPr>
        <w:t xml:space="preserve">I giovani sono concentrati nelle posizioni a tempo determinato. A dicembre del 2013, il numero di tecnologi con contratto a tempo determinato era 134 (di cui 24 donne, il 18%) a fronte di 219 tecnologi a tempo indeterminato: un tecnologo su 2.7 è precario. </w:t>
      </w:r>
    </w:p>
    <w:p w14:paraId="5C7F31FE" w14:textId="77777777" w:rsidR="00D92056" w:rsidRDefault="00CA7BD8" w:rsidP="000839E7">
      <w:pPr>
        <w:jc w:val="both"/>
        <w:rPr>
          <w:rFonts w:ascii="Times New Roman" w:eastAsia="Times New Roman" w:hAnsi="Times New Roman" w:cs="Times New Roman"/>
          <w:spacing w:val="-10"/>
        </w:rPr>
      </w:pPr>
      <w:r w:rsidRPr="002025B6">
        <w:rPr>
          <w:rFonts w:ascii="Times New Roman" w:hAnsi="Times New Roman" w:cs="Times New Roman"/>
          <w:spacing w:val="-10"/>
        </w:rPr>
        <w:t>Tra i ricercatori, gli assunti a tempo determinato sono 87 (di cui 27 donne, il 31%) a fronte di 577 ricercatori a tempo indeterminato. In questo caso, tuttavia, il personale a tempo determinato non rappresenta un indicatore di quanti giovani precari ci sono nell'Ente, in quanto un numero rivelante di essi collabora all'attività scientifica tramite il conferimento di assegni. L’ultimo concorso pubblico per una posizione di ricercatore di III livello a tempo indeterminato è stato bandito nel marzo 2010. Ciò ha comportato che al termine di un percorso di post-dottorato, molti/e giovani, per quanto bravi/e fossero, non hanno avuto nessuna opportunità di partecipare a un concorso.</w:t>
      </w:r>
    </w:p>
    <w:p w14:paraId="16ADB205" w14:textId="77777777" w:rsidR="00CA7BD8" w:rsidRPr="002025B6" w:rsidRDefault="00CA7BD8" w:rsidP="000839E7">
      <w:pPr>
        <w:pStyle w:val="Body2"/>
        <w:spacing w:before="120" w:line="240" w:lineRule="auto"/>
        <w:jc w:val="both"/>
        <w:rPr>
          <w:rFonts w:ascii="Times New Roman" w:hAnsi="Times New Roman" w:cs="Times New Roman"/>
          <w:color w:val="FF0000"/>
          <w:spacing w:val="-10"/>
          <w:sz w:val="24"/>
          <w:szCs w:val="24"/>
        </w:rPr>
      </w:pPr>
      <w:r w:rsidRPr="002025B6">
        <w:rPr>
          <w:rFonts w:ascii="Times New Roman" w:hAnsi="Times New Roman" w:cs="Times New Roman"/>
          <w:bCs/>
          <w:color w:val="00000A"/>
          <w:spacing w:val="-10"/>
          <w:sz w:val="24"/>
          <w:szCs w:val="24"/>
        </w:rPr>
        <w:t>9)</w:t>
      </w:r>
      <w:r w:rsidRPr="002025B6">
        <w:rPr>
          <w:rFonts w:ascii="Times New Roman" w:hAnsi="Times New Roman" w:cs="Times New Roman"/>
          <w:b/>
          <w:bCs/>
          <w:color w:val="00000A"/>
          <w:spacing w:val="-10"/>
          <w:sz w:val="24"/>
          <w:szCs w:val="24"/>
        </w:rPr>
        <w:t xml:space="preserve"> Vi sono disparità nell'accesso ai trattamenti o benefici per il personale di pari qualifica legate all</w:t>
      </w:r>
      <w:r w:rsidRPr="002025B6">
        <w:rPr>
          <w:rFonts w:ascii="Times New Roman" w:hAnsi="Times New Roman" w:cs="Times New Roman"/>
          <w:b/>
          <w:bCs/>
          <w:color w:val="00000A"/>
          <w:spacing w:val="-10"/>
          <w:sz w:val="24"/>
          <w:szCs w:val="24"/>
          <w:lang w:val="fr-FR"/>
        </w:rPr>
        <w:t>’</w:t>
      </w:r>
      <w:r w:rsidRPr="002025B6">
        <w:rPr>
          <w:rFonts w:ascii="Times New Roman" w:hAnsi="Times New Roman" w:cs="Times New Roman"/>
          <w:b/>
          <w:bCs/>
          <w:color w:val="00000A"/>
          <w:spacing w:val="-10"/>
          <w:sz w:val="24"/>
          <w:szCs w:val="24"/>
        </w:rPr>
        <w:t xml:space="preserve">anno di assunzione. </w:t>
      </w:r>
      <w:r w:rsidRPr="002025B6">
        <w:rPr>
          <w:rFonts w:ascii="Times New Roman" w:hAnsi="Times New Roman" w:cs="Times New Roman"/>
          <w:bCs/>
          <w:color w:val="00000A"/>
          <w:spacing w:val="-10"/>
          <w:sz w:val="24"/>
          <w:szCs w:val="24"/>
        </w:rPr>
        <w:t>Nel 2008 una procedura di conciliazione tra l’ente e dipendenti ha sanato parte dei contenziosi legali, disparità però che rimane per molti assunti dopo quell'anno.</w:t>
      </w:r>
    </w:p>
    <w:p w14:paraId="20932E01" w14:textId="77777777" w:rsidR="00CA7BD8" w:rsidRPr="002025B6" w:rsidRDefault="00CA7BD8" w:rsidP="000839E7">
      <w:pPr>
        <w:pStyle w:val="Body2"/>
        <w:spacing w:line="100" w:lineRule="atLeast"/>
        <w:jc w:val="both"/>
        <w:rPr>
          <w:rFonts w:ascii="Times New Roman" w:hAnsi="Times New Roman" w:cs="Times New Roman"/>
          <w:color w:val="FF0000"/>
          <w:spacing w:val="-10"/>
          <w:sz w:val="24"/>
          <w:szCs w:val="24"/>
        </w:rPr>
      </w:pPr>
    </w:p>
    <w:p w14:paraId="49589B14" w14:textId="77777777" w:rsidR="00CA7BD8" w:rsidRPr="002025B6" w:rsidRDefault="00CA7BD8" w:rsidP="000839E7">
      <w:pPr>
        <w:jc w:val="both"/>
        <w:rPr>
          <w:rFonts w:ascii="Times New Roman" w:hAnsi="Times New Roman" w:cs="Times New Roman"/>
          <w:spacing w:val="-10"/>
        </w:rPr>
      </w:pPr>
      <w:r w:rsidRPr="002025B6">
        <w:rPr>
          <w:rFonts w:ascii="Times New Roman" w:hAnsi="Times New Roman" w:cs="Times New Roman"/>
          <w:spacing w:val="-10"/>
        </w:rPr>
        <w:t xml:space="preserve">10) </w:t>
      </w:r>
      <w:r w:rsidRPr="002025B6">
        <w:rPr>
          <w:rFonts w:ascii="Times New Roman" w:hAnsi="Times New Roman" w:cs="Times New Roman"/>
          <w:b/>
          <w:spacing w:val="-10"/>
        </w:rPr>
        <w:t>Tra personale amministrativo e tecnico esistono disparità derivanti dai contratti nazionali.</w:t>
      </w:r>
      <w:r w:rsidRPr="002025B6">
        <w:rPr>
          <w:rFonts w:ascii="Times New Roman" w:hAnsi="Times New Roman" w:cs="Times New Roman"/>
          <w:spacing w:val="-10"/>
        </w:rPr>
        <w:t xml:space="preserve"> Il personale tecnico è maggiormente concentrato nel livello IV, mentre quello amministrativo nel livello inferiore V (vedi tabella 1). Questa distribuzione risente della diversa procedura, per il personale tecnico e quello amministrativo, di accesso ai livelli e di promozione a parità di titolo di studio, come formalizzata nei contratti nazionali. Ad esempio, per il ruolo professionale di Collaboratore, ruolo per cui è richiesto il diploma di scuola media superiore, il personale tecnico è inquadrato ad un livello superiore (VI) rispetto a quello amministrativo (VII), e può accedere nel corso della carriera fino al IV livello, rispetto al V livello degli amministrativi: per gli amministrativi è possibile accedere al IV livello solo nel ruolo di Funzionario, per cui è richiesto il diploma di laurea. Siccome la maggior parte del personale di genere femminile è inquadrato nel ruolo amministrativo, tale disparità configura una discriminazione di genere di tipo indiretto. La paga media di un amministrativo è inferiore di circa 1300 euro annui a quella media di un tecnico.</w:t>
      </w:r>
    </w:p>
    <w:p w14:paraId="67422960" w14:textId="77777777" w:rsidR="00CA7BD8" w:rsidRPr="00D14624" w:rsidRDefault="00CA7BD8" w:rsidP="000839E7">
      <w:pPr>
        <w:ind w:right="-142"/>
        <w:jc w:val="both"/>
        <w:rPr>
          <w:rFonts w:ascii="Times New Roman" w:hAnsi="Times New Roman" w:cs="Times New Roman"/>
        </w:rPr>
      </w:pPr>
    </w:p>
    <w:tbl>
      <w:tblPr>
        <w:tblW w:w="5045" w:type="pct"/>
        <w:tblCellMar>
          <w:left w:w="0" w:type="dxa"/>
          <w:right w:w="0" w:type="dxa"/>
        </w:tblCellMar>
        <w:tblLook w:val="0000" w:firstRow="0" w:lastRow="0" w:firstColumn="0" w:lastColumn="0" w:noHBand="0" w:noVBand="0"/>
      </w:tblPr>
      <w:tblGrid>
        <w:gridCol w:w="5166"/>
        <w:gridCol w:w="5267"/>
        <w:gridCol w:w="93"/>
      </w:tblGrid>
      <w:tr w:rsidR="00CA7BD8" w:rsidRPr="00D14624" w14:paraId="141F6FBA" w14:textId="77777777" w:rsidTr="00AA6438">
        <w:trPr>
          <w:cantSplit/>
          <w:trHeight w:val="3924"/>
        </w:trPr>
        <w:tc>
          <w:tcPr>
            <w:tcW w:w="2432" w:type="pct"/>
            <w:shd w:val="clear" w:color="auto" w:fill="auto"/>
          </w:tcPr>
          <w:p w14:paraId="703A4347" w14:textId="77777777" w:rsidR="00CA7BD8" w:rsidRPr="00D14624" w:rsidRDefault="00600BEB" w:rsidP="000839E7">
            <w:pPr>
              <w:pStyle w:val="Body2"/>
              <w:spacing w:line="100" w:lineRule="atLeast"/>
              <w:ind w:right="-142"/>
              <w:jc w:val="both"/>
              <w:rPr>
                <w:rFonts w:ascii="Times New Roman" w:eastAsia="Times New Roman" w:hAnsi="Times New Roman" w:cs="Times New Roman"/>
                <w:sz w:val="24"/>
                <w:szCs w:val="24"/>
              </w:rPr>
            </w:pPr>
            <w:r>
              <w:rPr>
                <w:rFonts w:ascii="Times New Roman" w:hAnsi="Times New Roman" w:cs="Times New Roman"/>
                <w:noProof/>
                <w:sz w:val="24"/>
                <w:szCs w:val="24"/>
                <w:lang w:eastAsia="it-IT"/>
              </w:rPr>
              <w:drawing>
                <wp:anchor distT="0" distB="0" distL="0" distR="0" simplePos="0" relativeHeight="251656192" behindDoc="0" locked="0" layoutInCell="1" allowOverlap="1" wp14:anchorId="68F0B1C1" wp14:editId="411B80FA">
                  <wp:simplePos x="0" y="0"/>
                  <wp:positionH relativeFrom="column">
                    <wp:align>center</wp:align>
                  </wp:positionH>
                  <wp:positionV relativeFrom="paragraph">
                    <wp:posOffset>0</wp:posOffset>
                  </wp:positionV>
                  <wp:extent cx="3280410" cy="2315845"/>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0501" cy="2315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568" w:type="pct"/>
            <w:gridSpan w:val="2"/>
            <w:shd w:val="clear" w:color="auto" w:fill="auto"/>
          </w:tcPr>
          <w:p w14:paraId="06340138" w14:textId="77777777" w:rsidR="00CA7BD8" w:rsidRPr="00D14624" w:rsidRDefault="00600BEB" w:rsidP="000839E7">
            <w:pPr>
              <w:pStyle w:val="Body2"/>
              <w:spacing w:line="100" w:lineRule="atLeast"/>
              <w:ind w:right="-142"/>
              <w:jc w:val="both"/>
              <w:rPr>
                <w:rFonts w:ascii="Times New Roman" w:eastAsia="Times New Roman" w:hAnsi="Times New Roman" w:cs="Times New Roman"/>
                <w:sz w:val="24"/>
                <w:szCs w:val="24"/>
              </w:rPr>
            </w:pPr>
            <w:r>
              <w:rPr>
                <w:rFonts w:ascii="Times New Roman" w:hAnsi="Times New Roman" w:cs="Times New Roman"/>
                <w:noProof/>
                <w:sz w:val="24"/>
                <w:szCs w:val="24"/>
                <w:lang w:eastAsia="it-IT"/>
              </w:rPr>
              <w:drawing>
                <wp:anchor distT="0" distB="0" distL="0" distR="0" simplePos="0" relativeHeight="251657216" behindDoc="0" locked="0" layoutInCell="1" allowOverlap="1" wp14:anchorId="59400761" wp14:editId="66936E57">
                  <wp:simplePos x="0" y="0"/>
                  <wp:positionH relativeFrom="column">
                    <wp:align>center</wp:align>
                  </wp:positionH>
                  <wp:positionV relativeFrom="paragraph">
                    <wp:posOffset>0</wp:posOffset>
                  </wp:positionV>
                  <wp:extent cx="3394075" cy="2316480"/>
                  <wp:effectExtent l="0" t="0" r="9525"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5186" cy="2317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r w:rsidR="00CA7BD8" w:rsidRPr="00D14624" w14:paraId="0EDF45EB" w14:textId="77777777" w:rsidTr="00201EAE">
        <w:trPr>
          <w:gridAfter w:val="1"/>
          <w:wAfter w:w="45" w:type="pct"/>
          <w:trHeight w:val="3925"/>
        </w:trPr>
        <w:tc>
          <w:tcPr>
            <w:tcW w:w="2432" w:type="pct"/>
            <w:shd w:val="clear" w:color="auto" w:fill="auto"/>
          </w:tcPr>
          <w:p w14:paraId="150DF6C2" w14:textId="77777777" w:rsidR="00CA7BD8" w:rsidRPr="00D14624" w:rsidRDefault="00600BEB" w:rsidP="000839E7">
            <w:pPr>
              <w:pStyle w:val="Body2"/>
              <w:spacing w:line="100" w:lineRule="atLeast"/>
              <w:ind w:right="-142"/>
              <w:jc w:val="both"/>
              <w:rPr>
                <w:rFonts w:ascii="Times New Roman" w:eastAsia="Times New Roman" w:hAnsi="Times New Roman" w:cs="Times New Roman"/>
                <w:sz w:val="24"/>
                <w:szCs w:val="24"/>
              </w:rPr>
            </w:pPr>
            <w:r>
              <w:rPr>
                <w:rFonts w:ascii="Times New Roman" w:hAnsi="Times New Roman" w:cs="Times New Roman"/>
                <w:noProof/>
                <w:sz w:val="24"/>
                <w:szCs w:val="24"/>
                <w:lang w:eastAsia="it-IT"/>
              </w:rPr>
              <w:drawing>
                <wp:anchor distT="0" distB="0" distL="0" distR="0" simplePos="0" relativeHeight="251658240" behindDoc="0" locked="0" layoutInCell="1" allowOverlap="1" wp14:anchorId="1A5E1650" wp14:editId="7E3E8FDE">
                  <wp:simplePos x="0" y="0"/>
                  <wp:positionH relativeFrom="column">
                    <wp:align>center</wp:align>
                  </wp:positionH>
                  <wp:positionV relativeFrom="paragraph">
                    <wp:posOffset>0</wp:posOffset>
                  </wp:positionV>
                  <wp:extent cx="3261360" cy="2277745"/>
                  <wp:effectExtent l="0" t="0" r="0" b="8255"/>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1619" cy="2277926"/>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523" w:type="pct"/>
            <w:shd w:val="clear" w:color="auto" w:fill="auto"/>
          </w:tcPr>
          <w:p w14:paraId="53C02F31" w14:textId="77777777" w:rsidR="00CA7BD8" w:rsidRPr="00D14624" w:rsidRDefault="00600BEB" w:rsidP="000839E7">
            <w:pPr>
              <w:pStyle w:val="Body2"/>
              <w:spacing w:line="100" w:lineRule="atLeast"/>
              <w:ind w:right="-142"/>
              <w:jc w:val="both"/>
              <w:rPr>
                <w:rFonts w:ascii="Times New Roman" w:eastAsia="Times New Roman" w:hAnsi="Times New Roman" w:cs="Times New Roman"/>
                <w:sz w:val="24"/>
                <w:szCs w:val="24"/>
              </w:rPr>
            </w:pPr>
            <w:r>
              <w:rPr>
                <w:rFonts w:ascii="Times New Roman" w:hAnsi="Times New Roman" w:cs="Times New Roman"/>
                <w:noProof/>
                <w:sz w:val="24"/>
                <w:szCs w:val="24"/>
                <w:lang w:eastAsia="it-IT"/>
              </w:rPr>
              <w:drawing>
                <wp:anchor distT="0" distB="0" distL="0" distR="0" simplePos="0" relativeHeight="251659264" behindDoc="0" locked="0" layoutInCell="1" allowOverlap="1" wp14:anchorId="34C64E3B" wp14:editId="6D8D4C05">
                  <wp:simplePos x="0" y="0"/>
                  <wp:positionH relativeFrom="column">
                    <wp:align>center</wp:align>
                  </wp:positionH>
                  <wp:positionV relativeFrom="paragraph">
                    <wp:posOffset>0</wp:posOffset>
                  </wp:positionV>
                  <wp:extent cx="3328035" cy="2286000"/>
                  <wp:effectExtent l="0" t="0" r="0"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8579" cy="2286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14:paraId="2689F70E" w14:textId="77777777" w:rsidR="00CA7BD8" w:rsidRPr="000839E7" w:rsidRDefault="00CA7BD8" w:rsidP="00600BEB">
      <w:pPr>
        <w:pStyle w:val="Body2"/>
        <w:spacing w:line="100" w:lineRule="atLeast"/>
        <w:jc w:val="both"/>
        <w:rPr>
          <w:rFonts w:ascii="Times New Roman" w:hAnsi="Times New Roman" w:cs="Times New Roman"/>
          <w:sz w:val="22"/>
          <w:szCs w:val="22"/>
        </w:rPr>
      </w:pPr>
      <w:r w:rsidRPr="000839E7">
        <w:rPr>
          <w:rFonts w:ascii="Times New Roman" w:hAnsi="Times New Roman" w:cs="Times New Roman"/>
          <w:b/>
          <w:bCs/>
          <w:sz w:val="22"/>
          <w:szCs w:val="22"/>
        </w:rPr>
        <w:t>Figura 1</w:t>
      </w:r>
      <w:r w:rsidRPr="000839E7">
        <w:rPr>
          <w:rFonts w:ascii="Times New Roman" w:hAnsi="Times New Roman" w:cs="Times New Roman"/>
          <w:sz w:val="22"/>
          <w:szCs w:val="22"/>
        </w:rPr>
        <w:t>: Distribuzione per fasce di età, separatamente per uomini e donne, del personale ricercatore, tecnologo, amministrativo e tecnico. I dati sono aggiornati a dicembre 2013.</w:t>
      </w:r>
    </w:p>
    <w:p w14:paraId="15D78DC9" w14:textId="77777777" w:rsidR="00CA7BD8" w:rsidRPr="00D14624" w:rsidRDefault="00CA7BD8" w:rsidP="00600BEB">
      <w:pPr>
        <w:pStyle w:val="Body2"/>
        <w:spacing w:line="100" w:lineRule="atLeast"/>
        <w:jc w:val="both"/>
        <w:rPr>
          <w:rFonts w:ascii="Times New Roman" w:eastAsia="Times New Roman" w:hAnsi="Times New Roman" w:cs="Times New Roman"/>
          <w:sz w:val="24"/>
          <w:szCs w:val="24"/>
        </w:rPr>
      </w:pPr>
    </w:p>
    <w:p w14:paraId="09670641" w14:textId="77777777" w:rsidR="00CA7BD8" w:rsidRPr="000839E7" w:rsidRDefault="00CA7BD8" w:rsidP="00600BEB">
      <w:pPr>
        <w:widowControl w:val="0"/>
        <w:rPr>
          <w:rFonts w:ascii="Times New Roman" w:eastAsia="Times New Roman" w:hAnsi="Times New Roman" w:cs="Times New Roman"/>
          <w:spacing w:val="-10"/>
        </w:rPr>
      </w:pPr>
      <w:r w:rsidRPr="000839E7">
        <w:rPr>
          <w:rFonts w:ascii="Times New Roman" w:eastAsia="Times New Roman" w:hAnsi="Times New Roman" w:cs="Times New Roman"/>
          <w:b/>
          <w:bCs/>
          <w:iCs/>
          <w:spacing w:val="-10"/>
        </w:rPr>
        <w:t>2. Stato delle politiche dell’Ente sul personale</w:t>
      </w:r>
    </w:p>
    <w:p w14:paraId="5067A1DC" w14:textId="77777777" w:rsidR="00CA7BD8" w:rsidRPr="000839E7" w:rsidRDefault="00CA7BD8" w:rsidP="00600BEB">
      <w:pPr>
        <w:widowControl w:val="0"/>
        <w:jc w:val="both"/>
        <w:rPr>
          <w:rFonts w:ascii="Times New Roman" w:eastAsia="Times New Roman" w:hAnsi="Times New Roman" w:cs="Times New Roman"/>
          <w:spacing w:val="-10"/>
        </w:rPr>
      </w:pPr>
    </w:p>
    <w:p w14:paraId="32B9623E" w14:textId="77777777" w:rsidR="00CA7BD8" w:rsidRPr="000839E7" w:rsidRDefault="00CA7BD8" w:rsidP="00600BEB">
      <w:pPr>
        <w:widowControl w:val="0"/>
        <w:jc w:val="both"/>
        <w:rPr>
          <w:rFonts w:ascii="Times New Roman" w:eastAsia="Times New Roman" w:hAnsi="Times New Roman" w:cs="Times New Roman"/>
          <w:spacing w:val="-10"/>
        </w:rPr>
      </w:pPr>
      <w:r w:rsidRPr="000839E7">
        <w:rPr>
          <w:rFonts w:ascii="Times New Roman" w:hAnsi="Times New Roman" w:cs="Times New Roman"/>
          <w:spacing w:val="-10"/>
        </w:rPr>
        <w:t xml:space="preserve">Lo stato delle politiche dell’Ente sul personale viene qui discusso seguendo le aree di intervento del </w:t>
      </w:r>
      <w:r w:rsidRPr="000839E7">
        <w:rPr>
          <w:rFonts w:ascii="Times New Roman" w:eastAsia="Times New Roman" w:hAnsi="Times New Roman" w:cs="Times New Roman"/>
          <w:bCs/>
          <w:iCs/>
          <w:spacing w:val="-10"/>
        </w:rPr>
        <w:t xml:space="preserve">PTAP </w:t>
      </w:r>
      <w:r w:rsidRPr="000839E7">
        <w:rPr>
          <w:rFonts w:ascii="Times New Roman" w:eastAsia="Times New Roman" w:hAnsi="Times New Roman" w:cs="Times New Roman"/>
          <w:spacing w:val="-10"/>
        </w:rPr>
        <w:t>2011-2013</w:t>
      </w:r>
      <w:r w:rsidRPr="000839E7">
        <w:rPr>
          <w:rStyle w:val="Rimandonotaapidipagina"/>
          <w:rFonts w:ascii="Times New Roman" w:eastAsia="Times New Roman" w:hAnsi="Times New Roman" w:cs="Times New Roman"/>
          <w:spacing w:val="-10"/>
        </w:rPr>
        <w:footnoteReference w:id="5"/>
      </w:r>
      <w:r w:rsidRPr="000839E7">
        <w:rPr>
          <w:rFonts w:ascii="Times New Roman" w:eastAsia="Times New Roman" w:hAnsi="Times New Roman" w:cs="Times New Roman"/>
          <w:spacing w:val="-10"/>
        </w:rPr>
        <w:t xml:space="preserve">, </w:t>
      </w:r>
      <w:r w:rsidRPr="000839E7">
        <w:rPr>
          <w:rFonts w:ascii="Times New Roman" w:eastAsia="Times New Roman" w:hAnsi="Times New Roman" w:cs="Times New Roman"/>
          <w:spacing w:val="-10"/>
        </w:rPr>
        <w:lastRenderedPageBreak/>
        <w:t xml:space="preserve">riportando sia il grado di recepimento rispetto a quanto prefissato </w:t>
      </w:r>
      <w:r w:rsidRPr="000839E7">
        <w:rPr>
          <w:rFonts w:ascii="Times New Roman" w:eastAsia="Times New Roman" w:hAnsi="Times New Roman" w:cs="Times New Roman"/>
          <w:bCs/>
          <w:iCs/>
          <w:spacing w:val="-10"/>
        </w:rPr>
        <w:t xml:space="preserve">nel PTAP </w:t>
      </w:r>
      <w:r w:rsidRPr="000839E7">
        <w:rPr>
          <w:rFonts w:ascii="Times New Roman" w:eastAsia="Times New Roman" w:hAnsi="Times New Roman" w:cs="Times New Roman"/>
          <w:spacing w:val="-10"/>
        </w:rPr>
        <w:t xml:space="preserve">2011-2013, sia le attività nate al di fuori degli obiettivi iniziali del PTAP stesso. </w:t>
      </w:r>
    </w:p>
    <w:p w14:paraId="0CFABEE4" w14:textId="77777777" w:rsidR="00CA7BD8" w:rsidRPr="000839E7" w:rsidRDefault="00CA7BD8" w:rsidP="00600BEB">
      <w:pPr>
        <w:widowControl w:val="0"/>
        <w:jc w:val="both"/>
        <w:rPr>
          <w:rFonts w:ascii="Times New Roman" w:eastAsia="Times New Roman" w:hAnsi="Times New Roman" w:cs="Times New Roman"/>
          <w:spacing w:val="-10"/>
        </w:rPr>
      </w:pPr>
    </w:p>
    <w:p w14:paraId="0A79E68E" w14:textId="77777777" w:rsidR="00CA7BD8" w:rsidRPr="000839E7" w:rsidRDefault="00CA7BD8" w:rsidP="000839E7">
      <w:pPr>
        <w:pStyle w:val="Paragrafoelenco1"/>
        <w:numPr>
          <w:ilvl w:val="0"/>
          <w:numId w:val="1"/>
        </w:numPr>
        <w:tabs>
          <w:tab w:val="clear" w:pos="0"/>
          <w:tab w:val="num" w:pos="284"/>
        </w:tabs>
        <w:spacing w:line="276" w:lineRule="auto"/>
        <w:ind w:left="142" w:hanging="142"/>
        <w:jc w:val="both"/>
        <w:rPr>
          <w:rFonts w:ascii="Times New Roman" w:hAnsi="Times New Roman" w:cs="Times New Roman"/>
          <w:spacing w:val="-10"/>
        </w:rPr>
      </w:pPr>
      <w:r w:rsidRPr="000839E7">
        <w:rPr>
          <w:rFonts w:ascii="Times New Roman" w:hAnsi="Times New Roman" w:cs="Times New Roman"/>
          <w:b/>
          <w:spacing w:val="-10"/>
        </w:rPr>
        <w:t>Valorizzazione delle Risorse Umane:</w:t>
      </w:r>
      <w:r w:rsidRPr="000839E7">
        <w:rPr>
          <w:rFonts w:ascii="Times New Roman" w:hAnsi="Times New Roman" w:cs="Times New Roman"/>
          <w:spacing w:val="-10"/>
        </w:rPr>
        <w:t xml:space="preserve"> costruzione di un ambiente di lavoro positivo e stimolante per tutto il personale coinvolto, nel rispetto e nella valorizzazione delle differenze come garanzia di parità e pari opportunità. Quest'area dovrebbe rappresentare il punto centrale di una reale politica del personale attenta al benessere e all’equità. Essa è un punto centrale del PTAP e comprende la rilettura critica dei disciplinari e dei regolamenti dell'Ente e l'introduzione di buone prassi, azioni volte al miglioramento della vita del personale e ad una sua maggiore partecipazione alle attività dell’Ente.</w:t>
      </w:r>
    </w:p>
    <w:p w14:paraId="018E9222" w14:textId="77777777" w:rsidR="00CA7BD8" w:rsidRPr="000839E7" w:rsidRDefault="000839E7" w:rsidP="000839E7">
      <w:pPr>
        <w:pStyle w:val="Paragrafoelenco1"/>
        <w:tabs>
          <w:tab w:val="num" w:pos="284"/>
        </w:tabs>
        <w:ind w:left="142" w:hanging="142"/>
        <w:jc w:val="both"/>
        <w:rPr>
          <w:rFonts w:ascii="Times New Roman" w:hAnsi="Times New Roman" w:cs="Times New Roman"/>
          <w:spacing w:val="-10"/>
        </w:rPr>
      </w:pPr>
      <w:r>
        <w:rPr>
          <w:rFonts w:ascii="Times New Roman" w:hAnsi="Times New Roman" w:cs="Times New Roman"/>
          <w:spacing w:val="-10"/>
        </w:rPr>
        <w:tab/>
      </w:r>
      <w:r w:rsidR="00CA7BD8" w:rsidRPr="000839E7">
        <w:rPr>
          <w:rFonts w:ascii="Times New Roman" w:hAnsi="Times New Roman" w:cs="Times New Roman"/>
          <w:spacing w:val="-10"/>
        </w:rPr>
        <w:t xml:space="preserve">Gli obiettivi raggiunti all’interno di quest’area, in maggior parte nati da sollecitazioni e/o da proposte del CUG, sono elencati nel seguito. </w:t>
      </w:r>
    </w:p>
    <w:p w14:paraId="5588CCD6" w14:textId="77777777" w:rsidR="00CA7BD8" w:rsidRPr="000839E7" w:rsidRDefault="00CA7BD8" w:rsidP="000839E7">
      <w:pPr>
        <w:pStyle w:val="Paragrafoelenco1"/>
        <w:tabs>
          <w:tab w:val="num" w:pos="284"/>
        </w:tabs>
        <w:ind w:left="142" w:hanging="142"/>
        <w:jc w:val="both"/>
        <w:rPr>
          <w:rFonts w:ascii="Times New Roman" w:hAnsi="Times New Roman" w:cs="Times New Roman"/>
          <w:spacing w:val="-10"/>
        </w:rPr>
      </w:pPr>
    </w:p>
    <w:p w14:paraId="7C270734" w14:textId="51D5E2AA" w:rsidR="00CA7BD8" w:rsidRPr="000839E7" w:rsidRDefault="00E23BF6" w:rsidP="00E23BF6">
      <w:pPr>
        <w:pStyle w:val="Paragrafoelenco1"/>
        <w:numPr>
          <w:ilvl w:val="1"/>
          <w:numId w:val="2"/>
        </w:numPr>
        <w:tabs>
          <w:tab w:val="clear" w:pos="0"/>
          <w:tab w:val="num" w:pos="-851"/>
        </w:tabs>
        <w:spacing w:line="276" w:lineRule="auto"/>
        <w:ind w:left="284" w:hanging="142"/>
        <w:jc w:val="both"/>
        <w:rPr>
          <w:rFonts w:ascii="Times New Roman" w:hAnsi="Times New Roman" w:cs="Times New Roman"/>
          <w:spacing w:val="-10"/>
        </w:rPr>
      </w:pPr>
      <w:r>
        <w:rPr>
          <w:rFonts w:ascii="Times New Roman" w:hAnsi="Times New Roman" w:cs="Times New Roman"/>
          <w:spacing w:val="-10"/>
        </w:rPr>
        <w:t xml:space="preserve"> </w:t>
      </w:r>
      <w:r w:rsidR="00CF537D">
        <w:rPr>
          <w:rFonts w:ascii="Times New Roman" w:hAnsi="Times New Roman" w:cs="Times New Roman"/>
          <w:spacing w:val="-10"/>
        </w:rPr>
        <w:t xml:space="preserve"> </w:t>
      </w:r>
      <w:r w:rsidR="00CA7BD8" w:rsidRPr="000839E7">
        <w:rPr>
          <w:rFonts w:ascii="Times New Roman" w:hAnsi="Times New Roman" w:cs="Times New Roman"/>
          <w:spacing w:val="-10"/>
        </w:rPr>
        <w:t>Modifica del Codice di Condotta in collaborazione con la Consigliera di Fiducia e realizzazio</w:t>
      </w:r>
      <w:r w:rsidR="000839E7">
        <w:rPr>
          <w:rFonts w:ascii="Times New Roman" w:hAnsi="Times New Roman" w:cs="Times New Roman"/>
          <w:spacing w:val="-10"/>
        </w:rPr>
        <w:t xml:space="preserve">ne di una brochure </w:t>
      </w:r>
      <w:r w:rsidR="00CA7BD8" w:rsidRPr="000839E7">
        <w:rPr>
          <w:rFonts w:ascii="Times New Roman" w:hAnsi="Times New Roman" w:cs="Times New Roman"/>
          <w:spacing w:val="-10"/>
        </w:rPr>
        <w:t>esplicativa per tutto il personale.</w:t>
      </w:r>
    </w:p>
    <w:p w14:paraId="004C5CEA" w14:textId="15656B94" w:rsidR="00CA7BD8" w:rsidRPr="000839E7" w:rsidRDefault="00E23BF6" w:rsidP="00E23BF6">
      <w:pPr>
        <w:pStyle w:val="Paragrafoelenco1"/>
        <w:numPr>
          <w:ilvl w:val="1"/>
          <w:numId w:val="2"/>
        </w:numPr>
        <w:tabs>
          <w:tab w:val="clear" w:pos="0"/>
          <w:tab w:val="num" w:pos="-851"/>
        </w:tabs>
        <w:spacing w:line="276" w:lineRule="auto"/>
        <w:ind w:left="284" w:hanging="142"/>
        <w:jc w:val="both"/>
        <w:rPr>
          <w:rFonts w:ascii="Times New Roman" w:hAnsi="Times New Roman" w:cs="Times New Roman"/>
          <w:spacing w:val="-10"/>
        </w:rPr>
      </w:pPr>
      <w:r>
        <w:rPr>
          <w:rFonts w:ascii="Times New Roman" w:hAnsi="Times New Roman" w:cs="Times New Roman"/>
          <w:spacing w:val="-10"/>
        </w:rPr>
        <w:t xml:space="preserve"> </w:t>
      </w:r>
      <w:r w:rsidR="00CF537D">
        <w:rPr>
          <w:rFonts w:ascii="Times New Roman" w:hAnsi="Times New Roman" w:cs="Times New Roman"/>
          <w:spacing w:val="-10"/>
        </w:rPr>
        <w:t xml:space="preserve"> </w:t>
      </w:r>
      <w:r w:rsidR="00CA7BD8" w:rsidRPr="000839E7">
        <w:rPr>
          <w:rFonts w:ascii="Times New Roman" w:hAnsi="Times New Roman" w:cs="Times New Roman"/>
          <w:spacing w:val="-10"/>
        </w:rPr>
        <w:t>Inclusione della presenza femminile in ogni commissione di concorso e nomina per la prima volta di una donna fra i componenti della Giunta Esecutiva.</w:t>
      </w:r>
    </w:p>
    <w:p w14:paraId="0C953CC6" w14:textId="6EDCBBBE" w:rsidR="00CA7BD8" w:rsidRPr="000839E7" w:rsidRDefault="00E23BF6" w:rsidP="00E23BF6">
      <w:pPr>
        <w:pStyle w:val="Paragrafoelenco1"/>
        <w:numPr>
          <w:ilvl w:val="1"/>
          <w:numId w:val="2"/>
        </w:numPr>
        <w:tabs>
          <w:tab w:val="clear" w:pos="0"/>
          <w:tab w:val="num" w:pos="-1134"/>
        </w:tabs>
        <w:spacing w:line="276" w:lineRule="auto"/>
        <w:ind w:left="284" w:hanging="142"/>
        <w:jc w:val="both"/>
        <w:rPr>
          <w:rFonts w:ascii="Times New Roman" w:hAnsi="Times New Roman" w:cs="Times New Roman"/>
          <w:spacing w:val="-10"/>
        </w:rPr>
      </w:pPr>
      <w:r>
        <w:rPr>
          <w:rFonts w:ascii="Times New Roman" w:hAnsi="Times New Roman" w:cs="Times New Roman"/>
          <w:spacing w:val="-10"/>
        </w:rPr>
        <w:t xml:space="preserve"> </w:t>
      </w:r>
      <w:r w:rsidR="00CF537D">
        <w:rPr>
          <w:rFonts w:ascii="Times New Roman" w:hAnsi="Times New Roman" w:cs="Times New Roman"/>
          <w:spacing w:val="-10"/>
        </w:rPr>
        <w:t xml:space="preserve"> </w:t>
      </w:r>
      <w:r w:rsidR="00CA7BD8" w:rsidRPr="000839E7">
        <w:rPr>
          <w:rFonts w:ascii="Times New Roman" w:hAnsi="Times New Roman" w:cs="Times New Roman"/>
          <w:spacing w:val="-10"/>
        </w:rPr>
        <w:t xml:space="preserve">Stesura del Disciplinare dei contributi ai/alle dipendenti con figli in età prescolare </w:t>
      </w:r>
    </w:p>
    <w:p w14:paraId="54494183" w14:textId="251B63F5" w:rsidR="00CA7BD8" w:rsidRPr="000839E7" w:rsidRDefault="00E23BF6" w:rsidP="00E23BF6">
      <w:pPr>
        <w:pStyle w:val="Paragrafoelenco1"/>
        <w:numPr>
          <w:ilvl w:val="1"/>
          <w:numId w:val="2"/>
        </w:numPr>
        <w:tabs>
          <w:tab w:val="clear" w:pos="0"/>
          <w:tab w:val="num" w:pos="-1134"/>
        </w:tabs>
        <w:spacing w:line="276" w:lineRule="auto"/>
        <w:ind w:left="284" w:hanging="142"/>
        <w:jc w:val="both"/>
        <w:rPr>
          <w:rFonts w:ascii="Times New Roman" w:hAnsi="Times New Roman" w:cs="Times New Roman"/>
          <w:spacing w:val="-10"/>
        </w:rPr>
      </w:pPr>
      <w:r>
        <w:rPr>
          <w:rFonts w:ascii="Times New Roman" w:hAnsi="Times New Roman" w:cs="Times New Roman"/>
          <w:spacing w:val="-10"/>
        </w:rPr>
        <w:t xml:space="preserve"> </w:t>
      </w:r>
      <w:r w:rsidR="00CF537D">
        <w:rPr>
          <w:rFonts w:ascii="Times New Roman" w:hAnsi="Times New Roman" w:cs="Times New Roman"/>
          <w:spacing w:val="-10"/>
        </w:rPr>
        <w:t xml:space="preserve"> </w:t>
      </w:r>
      <w:r w:rsidR="00CA7BD8" w:rsidRPr="000839E7">
        <w:rPr>
          <w:rFonts w:ascii="Times New Roman" w:hAnsi="Times New Roman" w:cs="Times New Roman"/>
          <w:spacing w:val="-10"/>
        </w:rPr>
        <w:t>Creazione di una banca dati nel portale dell’Ente per la valorizzazione delle competenze del personale dipendente; compilazione volontaria del database con lo scopo di migliorare la conoscenza reciproca fra le persone nelle strutture e fra le strutture (http://www.infn.it/cvonline/).</w:t>
      </w:r>
    </w:p>
    <w:p w14:paraId="19630EAE" w14:textId="26D67244" w:rsidR="00CA7BD8" w:rsidRPr="00E23BF6" w:rsidRDefault="00E23BF6" w:rsidP="00E23BF6">
      <w:pPr>
        <w:pStyle w:val="Paragrafoelenco1"/>
        <w:numPr>
          <w:ilvl w:val="1"/>
          <w:numId w:val="2"/>
        </w:numPr>
        <w:tabs>
          <w:tab w:val="clear" w:pos="0"/>
        </w:tabs>
        <w:spacing w:line="276" w:lineRule="auto"/>
        <w:ind w:left="284" w:hanging="142"/>
        <w:jc w:val="both"/>
        <w:rPr>
          <w:rFonts w:ascii="Times New Roman" w:hAnsi="Times New Roman" w:cs="Times New Roman"/>
          <w:spacing w:val="-10"/>
        </w:rPr>
      </w:pPr>
      <w:r>
        <w:rPr>
          <w:rFonts w:ascii="Times New Roman" w:hAnsi="Times New Roman" w:cs="Times New Roman"/>
          <w:spacing w:val="-10"/>
        </w:rPr>
        <w:t xml:space="preserve"> </w:t>
      </w:r>
      <w:r w:rsidR="00CF537D">
        <w:rPr>
          <w:rFonts w:ascii="Times New Roman" w:hAnsi="Times New Roman" w:cs="Times New Roman"/>
          <w:spacing w:val="-10"/>
        </w:rPr>
        <w:t xml:space="preserve"> </w:t>
      </w:r>
      <w:r w:rsidR="00CA7BD8" w:rsidRPr="000839E7">
        <w:rPr>
          <w:rFonts w:ascii="Times New Roman" w:hAnsi="Times New Roman" w:cs="Times New Roman"/>
          <w:spacing w:val="-10"/>
        </w:rPr>
        <w:t>Pubblicazione di una Newsletter basata su interviste al personale dipendente dell’Ente per evidenziare l’importanza del lavoro di tutti i giorni e pe</w:t>
      </w:r>
      <w:r>
        <w:rPr>
          <w:rFonts w:ascii="Times New Roman" w:hAnsi="Times New Roman" w:cs="Times New Roman"/>
          <w:spacing w:val="-10"/>
        </w:rPr>
        <w:t xml:space="preserve">r dar voce a tutto il personale </w:t>
      </w:r>
      <w:r w:rsidR="00CA7BD8" w:rsidRPr="00E23BF6">
        <w:rPr>
          <w:rFonts w:ascii="Times New Roman" w:hAnsi="Times New Roman" w:cs="Times New Roman"/>
          <w:spacing w:val="-10"/>
        </w:rPr>
        <w:t>(https://web2.infn.it/CUG/index.php/it/buone-prassi).</w:t>
      </w:r>
    </w:p>
    <w:p w14:paraId="0836FA70" w14:textId="0BEA6064" w:rsidR="00CA7BD8" w:rsidRPr="000839E7" w:rsidRDefault="00E23BF6" w:rsidP="00E23BF6">
      <w:pPr>
        <w:pStyle w:val="Paragrafoelenco1"/>
        <w:numPr>
          <w:ilvl w:val="1"/>
          <w:numId w:val="2"/>
        </w:numPr>
        <w:tabs>
          <w:tab w:val="clear" w:pos="0"/>
        </w:tabs>
        <w:spacing w:line="276" w:lineRule="auto"/>
        <w:ind w:left="284" w:hanging="142"/>
        <w:jc w:val="both"/>
        <w:rPr>
          <w:rFonts w:ascii="Times New Roman" w:hAnsi="Times New Roman" w:cs="Times New Roman"/>
          <w:spacing w:val="-10"/>
        </w:rPr>
      </w:pPr>
      <w:r>
        <w:rPr>
          <w:rFonts w:ascii="Times New Roman" w:hAnsi="Times New Roman" w:cs="Times New Roman"/>
          <w:spacing w:val="-10"/>
        </w:rPr>
        <w:t xml:space="preserve"> </w:t>
      </w:r>
      <w:r w:rsidR="00CF537D">
        <w:rPr>
          <w:rFonts w:ascii="Times New Roman" w:hAnsi="Times New Roman" w:cs="Times New Roman"/>
          <w:spacing w:val="-10"/>
        </w:rPr>
        <w:t xml:space="preserve"> </w:t>
      </w:r>
      <w:r w:rsidR="00CA7BD8" w:rsidRPr="000839E7">
        <w:rPr>
          <w:rFonts w:ascii="Times New Roman" w:hAnsi="Times New Roman" w:cs="Times New Roman"/>
          <w:spacing w:val="-10"/>
        </w:rPr>
        <w:t>Introduzione di una procedura di interpello per la selezione dei/delle componenti del CUG (http://web2.infn.it/CUG/images/alfresco/NormativaCug/2014l15Disciplinare%20interpello%20consultazione.pdf).</w:t>
      </w:r>
    </w:p>
    <w:p w14:paraId="40324A44" w14:textId="39808CF5" w:rsidR="00CA7BD8" w:rsidRPr="000839E7" w:rsidRDefault="00E23BF6" w:rsidP="00E23BF6">
      <w:pPr>
        <w:pStyle w:val="Paragrafoelenco1"/>
        <w:numPr>
          <w:ilvl w:val="1"/>
          <w:numId w:val="2"/>
        </w:numPr>
        <w:tabs>
          <w:tab w:val="clear" w:pos="0"/>
          <w:tab w:val="num" w:pos="284"/>
        </w:tabs>
        <w:spacing w:line="276" w:lineRule="auto"/>
        <w:ind w:left="284" w:hanging="142"/>
        <w:jc w:val="both"/>
        <w:rPr>
          <w:rFonts w:ascii="Times New Roman" w:hAnsi="Times New Roman" w:cs="Times New Roman"/>
          <w:spacing w:val="-10"/>
        </w:rPr>
      </w:pPr>
      <w:r>
        <w:rPr>
          <w:rFonts w:ascii="Times New Roman" w:hAnsi="Times New Roman" w:cs="Times New Roman"/>
          <w:spacing w:val="-10"/>
        </w:rPr>
        <w:t xml:space="preserve"> </w:t>
      </w:r>
      <w:r w:rsidR="00CF537D">
        <w:rPr>
          <w:rFonts w:ascii="Times New Roman" w:hAnsi="Times New Roman" w:cs="Times New Roman"/>
          <w:spacing w:val="-10"/>
        </w:rPr>
        <w:t xml:space="preserve"> </w:t>
      </w:r>
      <w:r w:rsidR="00CA7BD8" w:rsidRPr="000839E7">
        <w:rPr>
          <w:rFonts w:ascii="Times New Roman" w:hAnsi="Times New Roman" w:cs="Times New Roman"/>
          <w:spacing w:val="-10"/>
        </w:rPr>
        <w:t>Modifica del “Disciplinare per il conferimento degli assegni”:</w:t>
      </w:r>
    </w:p>
    <w:p w14:paraId="6457F9A7" w14:textId="77777777" w:rsidR="00CA7BD8" w:rsidRDefault="00CA7BD8" w:rsidP="00E23BF6">
      <w:pPr>
        <w:pStyle w:val="Paragrafoelenco1"/>
        <w:numPr>
          <w:ilvl w:val="0"/>
          <w:numId w:val="9"/>
        </w:numPr>
        <w:tabs>
          <w:tab w:val="num" w:pos="1440"/>
        </w:tabs>
        <w:spacing w:line="276" w:lineRule="auto"/>
        <w:ind w:left="851" w:hanging="284"/>
        <w:jc w:val="both"/>
        <w:rPr>
          <w:rFonts w:ascii="Times New Roman" w:hAnsi="Times New Roman" w:cs="Times New Roman"/>
          <w:spacing w:val="-10"/>
        </w:rPr>
      </w:pPr>
      <w:r w:rsidRPr="000839E7">
        <w:rPr>
          <w:rFonts w:ascii="Times New Roman" w:hAnsi="Times New Roman" w:cs="Times New Roman"/>
          <w:spacing w:val="-10"/>
        </w:rPr>
        <w:t xml:space="preserve">con l’estensione del limite di età in caso di maternità (18 mesi) e di congedo parentale del periodo pari alla durata di congedo utilizzato per ogni figlio (delibera del CD 12874); </w:t>
      </w:r>
    </w:p>
    <w:p w14:paraId="1E116B8A" w14:textId="77777777" w:rsidR="00CA7BD8" w:rsidRPr="00E23BF6" w:rsidRDefault="00CA7BD8" w:rsidP="00E23BF6">
      <w:pPr>
        <w:pStyle w:val="Paragrafoelenco1"/>
        <w:numPr>
          <w:ilvl w:val="0"/>
          <w:numId w:val="9"/>
        </w:numPr>
        <w:tabs>
          <w:tab w:val="num" w:pos="1440"/>
        </w:tabs>
        <w:spacing w:line="276" w:lineRule="auto"/>
        <w:ind w:left="851" w:hanging="284"/>
        <w:jc w:val="both"/>
        <w:rPr>
          <w:rFonts w:ascii="Times New Roman" w:hAnsi="Times New Roman" w:cs="Times New Roman"/>
          <w:spacing w:val="-10"/>
        </w:rPr>
      </w:pPr>
      <w:r w:rsidRPr="00E23BF6">
        <w:rPr>
          <w:rFonts w:ascii="Times New Roman" w:hAnsi="Times New Roman" w:cs="Times New Roman"/>
          <w:spacing w:val="-10"/>
        </w:rPr>
        <w:t>con l’integrazione economica da parte dell’Ente fino a concorrenza dell’intero stipendio dell’indennità corrisposta dall’INPS nel periodo di astensione obbligatoria per maternità per le assegniste pagate su fondi esterni (delibera del CD 12756).</w:t>
      </w:r>
    </w:p>
    <w:p w14:paraId="1D5747E1" w14:textId="13AC686D" w:rsidR="00CA7BD8" w:rsidRPr="000839E7" w:rsidRDefault="00E23BF6" w:rsidP="00D817F2">
      <w:pPr>
        <w:pStyle w:val="Paragrafoelenco1"/>
        <w:numPr>
          <w:ilvl w:val="1"/>
          <w:numId w:val="3"/>
        </w:numPr>
        <w:tabs>
          <w:tab w:val="clear" w:pos="0"/>
          <w:tab w:val="num" w:pos="-1276"/>
        </w:tabs>
        <w:spacing w:line="276" w:lineRule="auto"/>
        <w:ind w:left="284" w:hanging="142"/>
        <w:jc w:val="both"/>
        <w:rPr>
          <w:rFonts w:ascii="Times New Roman" w:hAnsi="Times New Roman" w:cs="Times New Roman"/>
          <w:spacing w:val="-10"/>
        </w:rPr>
      </w:pPr>
      <w:r>
        <w:rPr>
          <w:rFonts w:ascii="Times New Roman" w:hAnsi="Times New Roman" w:cs="Times New Roman"/>
          <w:spacing w:val="-10"/>
        </w:rPr>
        <w:t xml:space="preserve"> </w:t>
      </w:r>
      <w:r w:rsidR="00CF537D">
        <w:rPr>
          <w:rFonts w:ascii="Times New Roman" w:hAnsi="Times New Roman" w:cs="Times New Roman"/>
          <w:spacing w:val="-10"/>
        </w:rPr>
        <w:t xml:space="preserve"> </w:t>
      </w:r>
      <w:r w:rsidR="00CA7BD8" w:rsidRPr="000839E7">
        <w:rPr>
          <w:rFonts w:ascii="Times New Roman" w:hAnsi="Times New Roman" w:cs="Times New Roman"/>
          <w:spacing w:val="-10"/>
        </w:rPr>
        <w:t>Scrittura del Codice Etico dell’Ente.</w:t>
      </w:r>
    </w:p>
    <w:p w14:paraId="386D45CD" w14:textId="582ED3C5" w:rsidR="00CA7BD8" w:rsidRPr="000839E7" w:rsidRDefault="00E23BF6" w:rsidP="00E23BF6">
      <w:pPr>
        <w:pStyle w:val="Paragrafoelenco1"/>
        <w:numPr>
          <w:ilvl w:val="1"/>
          <w:numId w:val="3"/>
        </w:numPr>
        <w:tabs>
          <w:tab w:val="clear" w:pos="0"/>
          <w:tab w:val="num" w:pos="284"/>
        </w:tabs>
        <w:spacing w:line="276" w:lineRule="auto"/>
        <w:ind w:left="284" w:hanging="142"/>
        <w:jc w:val="both"/>
        <w:rPr>
          <w:rFonts w:ascii="Times New Roman" w:hAnsi="Times New Roman" w:cs="Times New Roman"/>
          <w:spacing w:val="-10"/>
        </w:rPr>
      </w:pPr>
      <w:r>
        <w:rPr>
          <w:rFonts w:ascii="Times New Roman" w:hAnsi="Times New Roman" w:cs="Times New Roman"/>
          <w:spacing w:val="-10"/>
        </w:rPr>
        <w:t xml:space="preserve"> </w:t>
      </w:r>
      <w:r w:rsidR="00CF537D">
        <w:rPr>
          <w:rFonts w:ascii="Times New Roman" w:hAnsi="Times New Roman" w:cs="Times New Roman"/>
          <w:spacing w:val="-10"/>
        </w:rPr>
        <w:t xml:space="preserve"> </w:t>
      </w:r>
      <w:r w:rsidR="00CA7BD8" w:rsidRPr="000839E7">
        <w:rPr>
          <w:rFonts w:ascii="Times New Roman" w:hAnsi="Times New Roman" w:cs="Times New Roman"/>
          <w:spacing w:val="-10"/>
        </w:rPr>
        <w:t xml:space="preserve">Introduzione del Disciplinare per l’applicazione del Telelavoro. </w:t>
      </w:r>
    </w:p>
    <w:p w14:paraId="531B92C0" w14:textId="77777777" w:rsidR="00CA7BD8" w:rsidRPr="000839E7" w:rsidRDefault="00CA7BD8" w:rsidP="00E23BF6">
      <w:pPr>
        <w:pStyle w:val="Paragrafoelenco1"/>
        <w:spacing w:line="276" w:lineRule="auto"/>
        <w:ind w:left="284" w:hanging="142"/>
        <w:jc w:val="both"/>
        <w:rPr>
          <w:rFonts w:ascii="Times New Roman" w:hAnsi="Times New Roman" w:cs="Times New Roman"/>
          <w:spacing w:val="-10"/>
        </w:rPr>
      </w:pPr>
    </w:p>
    <w:p w14:paraId="63D9C250" w14:textId="77777777" w:rsidR="00CA7BD8" w:rsidRPr="000839E7" w:rsidRDefault="00CA7BD8" w:rsidP="00E23BF6">
      <w:pPr>
        <w:ind w:left="284" w:hanging="142"/>
        <w:jc w:val="both"/>
        <w:rPr>
          <w:rFonts w:ascii="Times New Roman" w:hAnsi="Times New Roman" w:cs="Times New Roman"/>
          <w:spacing w:val="-10"/>
          <w:u w:val="single"/>
        </w:rPr>
      </w:pPr>
      <w:r w:rsidRPr="000839E7">
        <w:rPr>
          <w:rFonts w:ascii="Times New Roman" w:hAnsi="Times New Roman" w:cs="Times New Roman"/>
          <w:spacing w:val="-10"/>
          <w:u w:val="single"/>
        </w:rPr>
        <w:t>Va detto, tuttavia, che:</w:t>
      </w:r>
    </w:p>
    <w:p w14:paraId="0F5CAF5B" w14:textId="177F12EC" w:rsidR="00CA7BD8" w:rsidRPr="000839E7" w:rsidRDefault="00CF537D" w:rsidP="00D71791">
      <w:pPr>
        <w:pStyle w:val="Paragrafoelenco1"/>
        <w:numPr>
          <w:ilvl w:val="1"/>
          <w:numId w:val="4"/>
        </w:numPr>
        <w:spacing w:before="120"/>
        <w:ind w:left="284" w:hanging="142"/>
        <w:jc w:val="both"/>
        <w:rPr>
          <w:rFonts w:ascii="Times New Roman" w:hAnsi="Times New Roman" w:cs="Times New Roman"/>
          <w:spacing w:val="-10"/>
        </w:rPr>
      </w:pPr>
      <w:r>
        <w:rPr>
          <w:rFonts w:ascii="Times New Roman" w:hAnsi="Times New Roman" w:cs="Times New Roman"/>
          <w:spacing w:val="-10"/>
        </w:rPr>
        <w:t xml:space="preserve"> </w:t>
      </w:r>
      <w:bookmarkStart w:id="0" w:name="_GoBack"/>
      <w:bookmarkEnd w:id="0"/>
      <w:r w:rsidR="00CA7BD8" w:rsidRPr="000839E7">
        <w:rPr>
          <w:rFonts w:ascii="Times New Roman" w:hAnsi="Times New Roman" w:cs="Times New Roman"/>
          <w:spacing w:val="-10"/>
        </w:rPr>
        <w:t>a tutt’oggi il Codice Minerva, la cui applicazione garantirebbe una maggiore trasparenza nei concorsi, è stato solo parzialmente introdotto nei bandi;</w:t>
      </w:r>
    </w:p>
    <w:p w14:paraId="71BFE676" w14:textId="397A4F9C" w:rsidR="00CA7BD8" w:rsidRPr="000839E7" w:rsidRDefault="00D817F2" w:rsidP="00D71791">
      <w:pPr>
        <w:pStyle w:val="Paragrafoelenco1"/>
        <w:numPr>
          <w:ilvl w:val="1"/>
          <w:numId w:val="4"/>
        </w:numPr>
        <w:ind w:left="284" w:hanging="142"/>
        <w:jc w:val="both"/>
        <w:rPr>
          <w:rFonts w:ascii="Times New Roman" w:hAnsi="Times New Roman" w:cs="Times New Roman"/>
          <w:spacing w:val="-10"/>
        </w:rPr>
      </w:pPr>
      <w:r>
        <w:rPr>
          <w:rFonts w:ascii="Times New Roman" w:hAnsi="Times New Roman" w:cs="Times New Roman"/>
          <w:spacing w:val="-10"/>
        </w:rPr>
        <w:t xml:space="preserve">  </w:t>
      </w:r>
      <w:r w:rsidR="00CA7BD8" w:rsidRPr="000839E7">
        <w:rPr>
          <w:rFonts w:ascii="Times New Roman" w:hAnsi="Times New Roman" w:cs="Times New Roman"/>
          <w:spacing w:val="-10"/>
        </w:rPr>
        <w:t>nonostante i risultati raggiunti, manca tuttora una politica coerente di valorizzazione delle risorse umane che integri la strategia scientifica e la missione dell'Ente con le necessità del personale dipendente.</w:t>
      </w:r>
    </w:p>
    <w:p w14:paraId="69F923BE" w14:textId="77777777" w:rsidR="00CA7BD8" w:rsidRPr="000839E7" w:rsidRDefault="00CA7BD8" w:rsidP="00600BEB">
      <w:pPr>
        <w:pStyle w:val="Paragrafoelenco1"/>
        <w:ind w:left="0"/>
        <w:jc w:val="both"/>
        <w:rPr>
          <w:rFonts w:ascii="Times New Roman" w:hAnsi="Times New Roman" w:cs="Times New Roman"/>
          <w:spacing w:val="-10"/>
        </w:rPr>
      </w:pPr>
    </w:p>
    <w:p w14:paraId="15DD1900" w14:textId="77777777" w:rsidR="00CA7BD8" w:rsidRPr="000839E7" w:rsidRDefault="00CA7BD8" w:rsidP="00DB7F2E">
      <w:pPr>
        <w:pStyle w:val="Paragrafoelenco1"/>
        <w:numPr>
          <w:ilvl w:val="0"/>
          <w:numId w:val="1"/>
        </w:numPr>
        <w:tabs>
          <w:tab w:val="clear" w:pos="0"/>
          <w:tab w:val="num" w:pos="284"/>
        </w:tabs>
        <w:spacing w:line="276" w:lineRule="auto"/>
        <w:ind w:left="142" w:hanging="142"/>
        <w:jc w:val="both"/>
        <w:rPr>
          <w:rFonts w:ascii="Times New Roman" w:hAnsi="Times New Roman" w:cs="Times New Roman"/>
          <w:b/>
          <w:spacing w:val="-10"/>
        </w:rPr>
      </w:pPr>
      <w:r w:rsidRPr="000839E7">
        <w:rPr>
          <w:rFonts w:ascii="Times New Roman" w:hAnsi="Times New Roman" w:cs="Times New Roman"/>
          <w:b/>
          <w:spacing w:val="-10"/>
        </w:rPr>
        <w:t>Elaborazione di una strategia delle risorse umane per i ricercatori.</w:t>
      </w:r>
      <w:r w:rsidRPr="000839E7">
        <w:rPr>
          <w:rFonts w:ascii="Times New Roman" w:hAnsi="Times New Roman" w:cs="Times New Roman"/>
          <w:spacing w:val="-10"/>
        </w:rPr>
        <w:t xml:space="preserve"> La Commissione Europea (COM 2008 317 final) ha richiesto alle istituzioni della ricerca l’adozione di una Human Resource Strategy (HRS) per l’attuazione della Carta Europea dei Ricercatori e del Codice di Condotta. Il CUG - dopo uno studio preliminare condotto attraverso seminari e documenti elaborati da alcune delle Istituzioni che hanno già adottato una HRS - ha preparato una possibile strategia per l'adozione di una HRS nell'INFN e promosso l'iniziativa presso la dirigenza. Uno sviluppo efficace e autorevole dell’HRS, secondo quanto elaborato dal CUG, necessita del coinvolgimento responsabile ed </w:t>
      </w:r>
      <w:r w:rsidRPr="000839E7">
        <w:rPr>
          <w:rFonts w:ascii="Times New Roman" w:hAnsi="Times New Roman" w:cs="Times New Roman"/>
          <w:spacing w:val="-10"/>
        </w:rPr>
        <w:lastRenderedPageBreak/>
        <w:t xml:space="preserve">attivo di tutti i protagonisti della vita dell’Ente, scientifica e non, e di istanze </w:t>
      </w:r>
      <w:r w:rsidRPr="000839E7">
        <w:rPr>
          <w:rFonts w:ascii="Times New Roman" w:hAnsi="Times New Roman" w:cs="Times New Roman"/>
          <w:i/>
          <w:spacing w:val="-10"/>
        </w:rPr>
        <w:t>bottom-up</w:t>
      </w:r>
      <w:r w:rsidRPr="000839E7">
        <w:rPr>
          <w:rFonts w:ascii="Times New Roman" w:hAnsi="Times New Roman" w:cs="Times New Roman"/>
          <w:spacing w:val="-10"/>
        </w:rPr>
        <w:t xml:space="preserve">; dovrebbe quindi essere coordinato da un'ampia Commissione formata da rappresentanze di tutto il personale e della dirigenza. Nel 2013 l’INFN ha deciso di dotarsi di tale strumento nominando una ristretta Commissione di lavoro, con il proposito di procedere celermente, senza passare per un processo di sensibilizzazione e coinvolgimento del personale tutto. </w:t>
      </w:r>
      <w:r w:rsidRPr="000839E7">
        <w:rPr>
          <w:rFonts w:ascii="Times New Roman" w:hAnsi="Times New Roman" w:cs="Times New Roman"/>
          <w:spacing w:val="-10"/>
          <w:u w:val="single"/>
        </w:rPr>
        <w:t xml:space="preserve">Le procedure a livello europeo per l'adozione dell'HRS non sono state, al momento, avviate. </w:t>
      </w:r>
    </w:p>
    <w:p w14:paraId="5E14DAD5" w14:textId="77777777" w:rsidR="00CA7BD8" w:rsidRPr="000839E7" w:rsidRDefault="00CA7BD8" w:rsidP="002B0E7B">
      <w:pPr>
        <w:pStyle w:val="Paragrafoelenco1"/>
        <w:numPr>
          <w:ilvl w:val="0"/>
          <w:numId w:val="1"/>
        </w:numPr>
        <w:tabs>
          <w:tab w:val="clear" w:pos="0"/>
          <w:tab w:val="num" w:pos="284"/>
        </w:tabs>
        <w:spacing w:line="276" w:lineRule="auto"/>
        <w:ind w:left="142" w:hanging="142"/>
        <w:jc w:val="both"/>
        <w:rPr>
          <w:rFonts w:ascii="Times New Roman" w:hAnsi="Times New Roman" w:cs="Times New Roman"/>
          <w:spacing w:val="-10"/>
        </w:rPr>
      </w:pPr>
      <w:r w:rsidRPr="000839E7">
        <w:rPr>
          <w:rFonts w:ascii="Times New Roman" w:hAnsi="Times New Roman" w:cs="Times New Roman"/>
          <w:b/>
          <w:spacing w:val="-10"/>
        </w:rPr>
        <w:t xml:space="preserve">Statistiche di genere e generazionali. </w:t>
      </w:r>
      <w:r w:rsidRPr="000839E7">
        <w:rPr>
          <w:rFonts w:ascii="Times New Roman" w:hAnsi="Times New Roman" w:cs="Times New Roman"/>
          <w:spacing w:val="-10"/>
        </w:rPr>
        <w:t>Le</w:t>
      </w:r>
      <w:r w:rsidRPr="000839E7">
        <w:rPr>
          <w:rFonts w:ascii="Times New Roman" w:hAnsi="Times New Roman" w:cs="Times New Roman"/>
          <w:b/>
          <w:spacing w:val="-10"/>
        </w:rPr>
        <w:t xml:space="preserve"> </w:t>
      </w:r>
      <w:r w:rsidRPr="000839E7">
        <w:rPr>
          <w:rFonts w:ascii="Times New Roman" w:hAnsi="Times New Roman" w:cs="Times New Roman"/>
          <w:spacing w:val="-10"/>
        </w:rPr>
        <w:t xml:space="preserve">analisi statistiche riguardanti i vari aspetti dello stato del personale, dalle distribuzione per età e genere all'andamento delle carriere e delle retribuzioni, rappresentano uno strumento fondamentale per studiare l'impatto delle politiche dell'Ente e per la definizione di strategie di miglioramento. Su questa base, nel 2012 il Comitato ha chiesto che l'Ente si dotasse di uno strumento per il monitoraggio continuo del personale, analogamente a quanto fatto da altri enti di ricerca, come il CNRS francese. Al momento, tale strumento, denominato </w:t>
      </w:r>
      <w:r w:rsidRPr="000839E7">
        <w:rPr>
          <w:rFonts w:ascii="Times New Roman" w:hAnsi="Times New Roman" w:cs="Times New Roman"/>
          <w:i/>
          <w:spacing w:val="-10"/>
        </w:rPr>
        <w:t>Bilancio delle risorse umane</w:t>
      </w:r>
      <w:r w:rsidRPr="000839E7">
        <w:rPr>
          <w:rFonts w:ascii="Times New Roman" w:hAnsi="Times New Roman" w:cs="Times New Roman"/>
          <w:spacing w:val="-10"/>
        </w:rPr>
        <w:t>, è in via di definizione e pertanto non ancora attivo.</w:t>
      </w:r>
      <w:r w:rsidRPr="000839E7">
        <w:rPr>
          <w:rFonts w:ascii="Times New Roman" w:hAnsi="Times New Roman" w:cs="Times New Roman"/>
          <w:b/>
          <w:spacing w:val="-10"/>
        </w:rPr>
        <w:t xml:space="preserve">  </w:t>
      </w:r>
    </w:p>
    <w:p w14:paraId="611C024E" w14:textId="1D7E3539" w:rsidR="00CA7BD8" w:rsidRPr="000839E7" w:rsidRDefault="00DB7F2E" w:rsidP="00DB7F2E">
      <w:pPr>
        <w:pStyle w:val="Paragrafoelenco1"/>
        <w:tabs>
          <w:tab w:val="num" w:pos="142"/>
        </w:tabs>
        <w:spacing w:line="276" w:lineRule="auto"/>
        <w:ind w:left="142" w:hanging="142"/>
        <w:jc w:val="both"/>
        <w:rPr>
          <w:rFonts w:ascii="Times New Roman" w:hAnsi="Times New Roman" w:cs="Times New Roman"/>
          <w:b/>
          <w:spacing w:val="-10"/>
        </w:rPr>
      </w:pPr>
      <w:r>
        <w:rPr>
          <w:rFonts w:ascii="Times New Roman" w:hAnsi="Times New Roman" w:cs="Times New Roman"/>
          <w:spacing w:val="-10"/>
        </w:rPr>
        <w:tab/>
      </w:r>
      <w:r w:rsidR="00CA7BD8" w:rsidRPr="000839E7">
        <w:rPr>
          <w:rFonts w:ascii="Times New Roman" w:hAnsi="Times New Roman" w:cs="Times New Roman"/>
          <w:spacing w:val="-10"/>
        </w:rPr>
        <w:t xml:space="preserve">Durante il quadriennio del mandato del CUG, sono state prodotte periodicamente analisi statistiche di genere e generazionali, disponibili sul sito del Comitato (web2.infn.it/CUG). I più recenti dati relativi al personale (Conto Annuale 2013) sono disponibili sulla pagina istituzionale dell'INFN sul sito "Amministrazione Trasparente". Dati statistici disaggregati per genere sono oggi disponibili nel Piano Triennale, nei Moduli dei preventivi e dei consuntivi scientifici. </w:t>
      </w:r>
      <w:r w:rsidR="00CA7BD8" w:rsidRPr="000839E7">
        <w:rPr>
          <w:rFonts w:ascii="Times New Roman" w:hAnsi="Times New Roman" w:cs="Times New Roman"/>
          <w:spacing w:val="-10"/>
          <w:u w:val="single"/>
        </w:rPr>
        <w:t>Si rinnova qui l'invito all'Ente a presentare sistematicamente dati statistici in forma disaggregata per genere ed età.</w:t>
      </w:r>
    </w:p>
    <w:p w14:paraId="0A915DE1" w14:textId="77777777" w:rsidR="00CA7BD8" w:rsidRPr="000839E7" w:rsidRDefault="00CA7BD8" w:rsidP="002B0E7B">
      <w:pPr>
        <w:pStyle w:val="Paragrafoelenco1"/>
        <w:numPr>
          <w:ilvl w:val="0"/>
          <w:numId w:val="1"/>
        </w:numPr>
        <w:tabs>
          <w:tab w:val="clear" w:pos="0"/>
          <w:tab w:val="num" w:pos="284"/>
        </w:tabs>
        <w:spacing w:line="276" w:lineRule="auto"/>
        <w:ind w:left="142" w:hanging="142"/>
        <w:jc w:val="both"/>
        <w:rPr>
          <w:rFonts w:ascii="Times New Roman" w:hAnsi="Times New Roman" w:cs="Times New Roman"/>
          <w:spacing w:val="-10"/>
        </w:rPr>
      </w:pPr>
      <w:r w:rsidRPr="000839E7">
        <w:rPr>
          <w:rFonts w:ascii="Times New Roman" w:hAnsi="Times New Roman" w:cs="Times New Roman"/>
          <w:b/>
          <w:spacing w:val="-10"/>
        </w:rPr>
        <w:t xml:space="preserve"> Promozione della cultura di genere. </w:t>
      </w:r>
      <w:r w:rsidRPr="000839E7">
        <w:rPr>
          <w:rFonts w:ascii="Times New Roman" w:hAnsi="Times New Roman" w:cs="Times New Roman"/>
          <w:spacing w:val="-10"/>
        </w:rPr>
        <w:t>Uno degli obiettivi principali di quest'area riguarda la formazione e l’informazione del personale sulle normative e sulle strategie, sia italiane che europee, riguardanti le tematiche di genere. Infatti, il raggiungimento della parità di genere e la garanzia di pari opportunità passano attraverso l'educazione al riconoscimento della diversità e la diffusione di una cultura fondata sul rispetto anche delle differenze.</w:t>
      </w:r>
    </w:p>
    <w:p w14:paraId="05CB37AA" w14:textId="29C81F82" w:rsidR="00CA7BD8" w:rsidRPr="000839E7" w:rsidRDefault="002B0E7B" w:rsidP="002B0E7B">
      <w:pPr>
        <w:pStyle w:val="Paragrafoelenco1"/>
        <w:tabs>
          <w:tab w:val="num" w:pos="284"/>
        </w:tabs>
        <w:spacing w:line="276" w:lineRule="auto"/>
        <w:ind w:left="142" w:hanging="142"/>
        <w:jc w:val="both"/>
        <w:rPr>
          <w:rFonts w:ascii="Times New Roman" w:hAnsi="Times New Roman" w:cs="Times New Roman"/>
          <w:spacing w:val="-10"/>
        </w:rPr>
      </w:pPr>
      <w:r>
        <w:rPr>
          <w:rFonts w:ascii="Times New Roman" w:hAnsi="Times New Roman" w:cs="Times New Roman"/>
          <w:spacing w:val="-10"/>
        </w:rPr>
        <w:tab/>
      </w:r>
      <w:r w:rsidR="00CA7BD8" w:rsidRPr="000839E7">
        <w:rPr>
          <w:rFonts w:ascii="Times New Roman" w:hAnsi="Times New Roman" w:cs="Times New Roman"/>
          <w:spacing w:val="-10"/>
        </w:rPr>
        <w:t>Nel 2012 il CUG ha organizzato un corso di formazione nazionale su “Ottica di Genere nella Ricerca” presso l’ITC-ILO (International Training Centre - International Labour Organization). Nel 2014, all’interno del progetto europeo GenisLab, sono stati effettuati due corsi nazionali, "Gender Balance: lo sviluppo e la gestione delle risorse umane attraverso la valorizzazione dell'equità di genere" e "Gender and Science. An open issue”. Sono state altresì organizzate attività nella Sezione di Trieste e ai Laboratori di Frascati.</w:t>
      </w:r>
    </w:p>
    <w:p w14:paraId="60232DB4" w14:textId="7D6D9943" w:rsidR="00CA7BD8" w:rsidRPr="000839E7" w:rsidRDefault="002B0E7B" w:rsidP="002B0E7B">
      <w:pPr>
        <w:pStyle w:val="Paragrafoelenco1"/>
        <w:tabs>
          <w:tab w:val="num" w:pos="284"/>
        </w:tabs>
        <w:spacing w:line="276" w:lineRule="auto"/>
        <w:ind w:left="142" w:hanging="142"/>
        <w:jc w:val="both"/>
        <w:rPr>
          <w:rFonts w:ascii="Times New Roman" w:hAnsi="Times New Roman" w:cs="Times New Roman"/>
          <w:spacing w:val="-10"/>
          <w:u w:val="single"/>
        </w:rPr>
      </w:pPr>
      <w:r>
        <w:rPr>
          <w:rFonts w:ascii="Times New Roman" w:hAnsi="Times New Roman" w:cs="Times New Roman"/>
          <w:spacing w:val="-10"/>
        </w:rPr>
        <w:tab/>
      </w:r>
      <w:r w:rsidR="00CA7BD8" w:rsidRPr="000839E7">
        <w:rPr>
          <w:rFonts w:ascii="Times New Roman" w:hAnsi="Times New Roman" w:cs="Times New Roman"/>
          <w:spacing w:val="-10"/>
        </w:rPr>
        <w:t xml:space="preserve">Problematiche di genere e sul riconoscimento della diversità sono stati presentate in incontri con il personale in diverse strutture INFN e nelle assemblee nazionali dei rappresentanti del personale. </w:t>
      </w:r>
      <w:r w:rsidR="00CA7BD8" w:rsidRPr="000839E7">
        <w:rPr>
          <w:rFonts w:ascii="Times New Roman" w:hAnsi="Times New Roman" w:cs="Times New Roman"/>
          <w:spacing w:val="-10"/>
          <w:u w:val="single"/>
        </w:rPr>
        <w:t>L’interazione diretta con il personale delle Sezioni si è dimostrata un ottimo strumento di confronto e di promozione, che andrebbe approfondito anche attraverso il supporto dei vari rappresentanti locali, da quelli del personale a quelli delle sicurezze.</w:t>
      </w:r>
    </w:p>
    <w:p w14:paraId="409D2E07" w14:textId="709D93C7" w:rsidR="00CA7BD8" w:rsidRPr="000839E7" w:rsidRDefault="002B0E7B" w:rsidP="002B0E7B">
      <w:pPr>
        <w:pStyle w:val="Paragrafoelenco1"/>
        <w:tabs>
          <w:tab w:val="num" w:pos="284"/>
        </w:tabs>
        <w:spacing w:line="276" w:lineRule="auto"/>
        <w:ind w:left="142" w:hanging="142"/>
        <w:jc w:val="both"/>
        <w:rPr>
          <w:rFonts w:ascii="Times New Roman" w:hAnsi="Times New Roman" w:cs="Times New Roman"/>
          <w:spacing w:val="-10"/>
        </w:rPr>
      </w:pPr>
      <w:r w:rsidRPr="002B0E7B">
        <w:rPr>
          <w:rFonts w:ascii="Times New Roman" w:hAnsi="Times New Roman" w:cs="Times New Roman"/>
          <w:spacing w:val="-10"/>
        </w:rPr>
        <w:tab/>
      </w:r>
      <w:r w:rsidR="00CA7BD8" w:rsidRPr="000839E7">
        <w:rPr>
          <w:rFonts w:ascii="Times New Roman" w:hAnsi="Times New Roman" w:cs="Times New Roman"/>
          <w:spacing w:val="-10"/>
          <w:u w:val="single"/>
        </w:rPr>
        <w:t xml:space="preserve">Per quanto attiene la formazione, è mancata una coerente e sistematica collaborazione tra il CUG e la commissione per la formazione. In particolare tutti i corsi relativi alla gestione del personale andrebbero affrontati in ottica di genere, cosa che ancora non avviene. </w:t>
      </w:r>
    </w:p>
    <w:p w14:paraId="68FBA200" w14:textId="683B1D9F" w:rsidR="00CA7BD8" w:rsidRPr="000839E7" w:rsidRDefault="002B0E7B" w:rsidP="002B0E7B">
      <w:pPr>
        <w:pStyle w:val="Paragrafoelenco1"/>
        <w:tabs>
          <w:tab w:val="num" w:pos="284"/>
        </w:tabs>
        <w:spacing w:line="276" w:lineRule="auto"/>
        <w:ind w:left="142" w:hanging="142"/>
        <w:jc w:val="both"/>
        <w:rPr>
          <w:rFonts w:ascii="Times New Roman" w:hAnsi="Times New Roman" w:cs="Times New Roman"/>
          <w:spacing w:val="-10"/>
        </w:rPr>
      </w:pPr>
      <w:r>
        <w:rPr>
          <w:rFonts w:ascii="Times New Roman" w:hAnsi="Times New Roman" w:cs="Times New Roman"/>
          <w:spacing w:val="-10"/>
        </w:rPr>
        <w:tab/>
      </w:r>
      <w:r w:rsidR="00CA7BD8" w:rsidRPr="000839E7">
        <w:rPr>
          <w:rFonts w:ascii="Times New Roman" w:hAnsi="Times New Roman" w:cs="Times New Roman"/>
          <w:spacing w:val="-10"/>
        </w:rPr>
        <w:t>Nel 2013 e nel 2014, in occasione del 25 novembre, Giornata internazionale per l'eliminazione della violenza contro le donne, il CUG ha organizzato dei momenti di riflessione in alcune Sezioni.</w:t>
      </w:r>
    </w:p>
    <w:p w14:paraId="1882C394" w14:textId="3EEC3EFE" w:rsidR="00CA7BD8" w:rsidRPr="000839E7" w:rsidRDefault="002B0E7B" w:rsidP="002B0E7B">
      <w:pPr>
        <w:pStyle w:val="Paragrafoelenco1"/>
        <w:tabs>
          <w:tab w:val="num" w:pos="284"/>
        </w:tabs>
        <w:spacing w:line="276" w:lineRule="auto"/>
        <w:ind w:left="142" w:hanging="142"/>
        <w:jc w:val="both"/>
        <w:rPr>
          <w:rFonts w:ascii="Times New Roman" w:hAnsi="Times New Roman" w:cs="Times New Roman"/>
          <w:spacing w:val="-10"/>
        </w:rPr>
      </w:pPr>
      <w:r>
        <w:rPr>
          <w:rFonts w:ascii="Times New Roman" w:hAnsi="Times New Roman" w:cs="Times New Roman"/>
          <w:spacing w:val="-10"/>
        </w:rPr>
        <w:tab/>
      </w:r>
      <w:r w:rsidR="00CA7BD8" w:rsidRPr="000839E7">
        <w:rPr>
          <w:rFonts w:ascii="Times New Roman" w:hAnsi="Times New Roman" w:cs="Times New Roman"/>
          <w:spacing w:val="-10"/>
        </w:rPr>
        <w:t xml:space="preserve">Il linguaggio assume un ruolo importante nel mantenimento delle disparità, dei pregiudizi e delle discriminazioni; in tal senso, benché più volte sollecitato, </w:t>
      </w:r>
      <w:r w:rsidR="00CA7BD8" w:rsidRPr="000839E7">
        <w:rPr>
          <w:rFonts w:ascii="Times New Roman" w:hAnsi="Times New Roman" w:cs="Times New Roman"/>
          <w:spacing w:val="-10"/>
          <w:u w:val="single"/>
        </w:rPr>
        <w:t>l’uso di un linguaggio consapevole del genere nei documenti ufficiali dell’Ente (ad es. bandi, disciplinari, ecc.) è ancora in uno stadio iniziale.</w:t>
      </w:r>
    </w:p>
    <w:p w14:paraId="6B95B59E" w14:textId="08397523" w:rsidR="00CA7BD8" w:rsidRPr="000839E7" w:rsidRDefault="002B0E7B" w:rsidP="002B0E7B">
      <w:pPr>
        <w:pStyle w:val="Paragrafoelenco1"/>
        <w:tabs>
          <w:tab w:val="num" w:pos="284"/>
        </w:tabs>
        <w:spacing w:line="276" w:lineRule="auto"/>
        <w:ind w:left="142" w:hanging="142"/>
        <w:jc w:val="both"/>
        <w:rPr>
          <w:rFonts w:ascii="Times New Roman" w:hAnsi="Times New Roman" w:cs="Times New Roman"/>
          <w:b/>
          <w:spacing w:val="-10"/>
        </w:rPr>
      </w:pPr>
      <w:r>
        <w:rPr>
          <w:rFonts w:ascii="Times New Roman" w:hAnsi="Times New Roman" w:cs="Times New Roman"/>
          <w:spacing w:val="-10"/>
        </w:rPr>
        <w:tab/>
      </w:r>
      <w:r w:rsidR="00CA7BD8" w:rsidRPr="000839E7">
        <w:rPr>
          <w:rFonts w:ascii="Times New Roman" w:hAnsi="Times New Roman" w:cs="Times New Roman"/>
          <w:spacing w:val="-10"/>
        </w:rPr>
        <w:t>Un’attenzione particolare è stata posta, nel 2012, alle criticità nella valutazione delle carriere al femminile, in particolare per quanto riguarda la tutela della maternità, nel bando ''Valutazione Nazionale della Ricerca (VQR 2004-2010)'' attraverso la scrittura di una lettera insieme all’Associazione Donne e Scienza e ai CUG di altri enti (INGV, CNR). L’azione ha portato ad un’interrogazione parlamentare.</w:t>
      </w:r>
    </w:p>
    <w:p w14:paraId="696558B8" w14:textId="77777777" w:rsidR="00CA7BD8" w:rsidRPr="000839E7" w:rsidRDefault="00CA7BD8" w:rsidP="002B0E7B">
      <w:pPr>
        <w:pStyle w:val="Paragrafoelenco1"/>
        <w:numPr>
          <w:ilvl w:val="0"/>
          <w:numId w:val="1"/>
        </w:numPr>
        <w:tabs>
          <w:tab w:val="clear" w:pos="0"/>
          <w:tab w:val="num" w:pos="284"/>
        </w:tabs>
        <w:spacing w:line="276" w:lineRule="auto"/>
        <w:ind w:left="142" w:hanging="142"/>
        <w:jc w:val="both"/>
        <w:rPr>
          <w:rFonts w:ascii="Times New Roman" w:hAnsi="Times New Roman" w:cs="Times New Roman"/>
          <w:spacing w:val="-10"/>
        </w:rPr>
      </w:pPr>
      <w:r w:rsidRPr="000839E7">
        <w:rPr>
          <w:rFonts w:ascii="Times New Roman" w:hAnsi="Times New Roman" w:cs="Times New Roman"/>
          <w:b/>
          <w:spacing w:val="-10"/>
        </w:rPr>
        <w:t>Salute e Benessere Organizzativo:</w:t>
      </w:r>
      <w:r w:rsidRPr="000839E7">
        <w:rPr>
          <w:rFonts w:ascii="Times New Roman" w:hAnsi="Times New Roman" w:cs="Times New Roman"/>
          <w:spacing w:val="-10"/>
        </w:rPr>
        <w:t xml:space="preserve"> adozione di programmi di miglioramento della sicurezza e salute sul lavoro, con particolare riguardo alla valutazione del rischio e delle fonti di stress lavoro-correlato tenendo conto delle </w:t>
      </w:r>
      <w:r w:rsidRPr="000839E7">
        <w:rPr>
          <w:rFonts w:ascii="Times New Roman" w:hAnsi="Times New Roman" w:cs="Times New Roman"/>
          <w:spacing w:val="-10"/>
        </w:rPr>
        <w:lastRenderedPageBreak/>
        <w:t xml:space="preserve">differenze di genere e generazionali come anche delle specifiche tipologie contrattuali e della provenienza da altri paesi (Testo Unico in materia di Sicurezza - D.Lgs. 106/09, già D.Lgs. 81/08). </w:t>
      </w:r>
    </w:p>
    <w:p w14:paraId="70098174" w14:textId="6306ED69" w:rsidR="00CA7BD8" w:rsidRPr="000839E7" w:rsidRDefault="002B0E7B" w:rsidP="002B0E7B">
      <w:pPr>
        <w:pStyle w:val="Paragrafoelenco1"/>
        <w:tabs>
          <w:tab w:val="num" w:pos="284"/>
        </w:tabs>
        <w:ind w:left="142" w:hanging="142"/>
        <w:jc w:val="both"/>
        <w:rPr>
          <w:rFonts w:ascii="Times New Roman" w:hAnsi="Times New Roman" w:cs="Times New Roman"/>
          <w:spacing w:val="-10"/>
        </w:rPr>
      </w:pPr>
      <w:r>
        <w:rPr>
          <w:rFonts w:ascii="Times New Roman" w:hAnsi="Times New Roman" w:cs="Times New Roman"/>
          <w:spacing w:val="-10"/>
        </w:rPr>
        <w:tab/>
      </w:r>
      <w:r w:rsidR="00CA7BD8" w:rsidRPr="000839E7">
        <w:rPr>
          <w:rFonts w:ascii="Times New Roman" w:hAnsi="Times New Roman" w:cs="Times New Roman"/>
          <w:spacing w:val="-10"/>
        </w:rPr>
        <w:t>Il documento di valutazione dei rischi dell’Ente è stato integrato con una parte riguardante esplicitamente la Tutela della sicurezza e della salute della lavoratrice madre (</w:t>
      </w:r>
      <w:r w:rsidR="00CA7BD8" w:rsidRPr="000839E7">
        <w:rPr>
          <w:rFonts w:ascii="Times New Roman" w:hAnsi="Times New Roman" w:cs="Times New Roman"/>
          <w:i/>
          <w:spacing w:val="-10"/>
        </w:rPr>
        <w:t>www.ac.infn.it/sicurezza/Doc_tutelamater_81.doc</w:t>
      </w:r>
      <w:r w:rsidR="00CA7BD8" w:rsidRPr="000839E7">
        <w:rPr>
          <w:rFonts w:ascii="Times New Roman" w:hAnsi="Times New Roman" w:cs="Times New Roman"/>
          <w:spacing w:val="-10"/>
        </w:rPr>
        <w:t xml:space="preserve">‎). Tale documento è stato uno degli ottimi esempi pratici di lavoro in sinergia fra la Consigliera di Fiducia, il CUG e alcuni componenti della Commissione Nazionale Permanente di Igiene e Sicurezza dell’Ente (CNPISA).  </w:t>
      </w:r>
    </w:p>
    <w:p w14:paraId="37B82D96" w14:textId="1BCECDB5" w:rsidR="00CA7BD8" w:rsidRPr="000839E7" w:rsidRDefault="002B0E7B" w:rsidP="002B0E7B">
      <w:pPr>
        <w:pStyle w:val="Paragrafoelenco1"/>
        <w:tabs>
          <w:tab w:val="num" w:pos="284"/>
        </w:tabs>
        <w:ind w:left="142" w:hanging="142"/>
        <w:jc w:val="both"/>
        <w:rPr>
          <w:rFonts w:ascii="Times New Roman" w:hAnsi="Times New Roman" w:cs="Times New Roman"/>
          <w:spacing w:val="-10"/>
        </w:rPr>
      </w:pPr>
      <w:r>
        <w:rPr>
          <w:rFonts w:ascii="Times New Roman" w:hAnsi="Times New Roman" w:cs="Times New Roman"/>
          <w:spacing w:val="-10"/>
        </w:rPr>
        <w:tab/>
      </w:r>
      <w:r w:rsidR="00CA7BD8" w:rsidRPr="000839E7">
        <w:rPr>
          <w:rFonts w:ascii="Times New Roman" w:hAnsi="Times New Roman" w:cs="Times New Roman"/>
          <w:spacing w:val="-10"/>
        </w:rPr>
        <w:t>Per quanto attiene la formazione, è stato organizzato dalla CNPISA un corso nazionale per gli RSPP, "</w:t>
      </w:r>
      <w:r w:rsidR="00CA7BD8" w:rsidRPr="000839E7">
        <w:rPr>
          <w:rFonts w:ascii="Times New Roman" w:hAnsi="Times New Roman" w:cs="Times New Roman"/>
          <w:i/>
          <w:spacing w:val="-10"/>
        </w:rPr>
        <w:t>Corso per formatori in materia di salute e sicurezza sul lavoro</w:t>
      </w:r>
      <w:r w:rsidR="00CA7BD8" w:rsidRPr="000839E7">
        <w:rPr>
          <w:rFonts w:ascii="Times New Roman" w:hAnsi="Times New Roman" w:cs="Times New Roman"/>
          <w:spacing w:val="-10"/>
        </w:rPr>
        <w:t xml:space="preserve">", in cui si sono affrontate tematiche di genere; il CUG ha organizzato due corsi nazionali sul “Diversity management per l’integrazione dell’ottica di genere in tematiche di salute e sicurezza” rivolto ai rappresentanti del personale e ai rappresentanti  per le sicurezze ed è stato tenuto un seminario di formazione nazionale per gli RLS sul genere. </w:t>
      </w:r>
    </w:p>
    <w:p w14:paraId="2FB9A371" w14:textId="77777777" w:rsidR="00CA7BD8" w:rsidRPr="000839E7" w:rsidRDefault="00CA7BD8" w:rsidP="00600BEB">
      <w:pPr>
        <w:pStyle w:val="Paragrafoelenco1"/>
        <w:ind w:left="0"/>
        <w:jc w:val="both"/>
        <w:rPr>
          <w:rFonts w:ascii="Times New Roman" w:hAnsi="Times New Roman" w:cs="Times New Roman"/>
          <w:spacing w:val="-10"/>
        </w:rPr>
      </w:pPr>
    </w:p>
    <w:p w14:paraId="7FBFF89E" w14:textId="77777777" w:rsidR="00CA7BD8" w:rsidRPr="000839E7" w:rsidRDefault="00CA7BD8" w:rsidP="00600BEB">
      <w:pPr>
        <w:pStyle w:val="Paragrafoelenco1"/>
        <w:ind w:left="0"/>
        <w:jc w:val="both"/>
        <w:rPr>
          <w:rFonts w:ascii="Times New Roman" w:hAnsi="Times New Roman" w:cs="Times New Roman"/>
          <w:spacing w:val="-10"/>
        </w:rPr>
      </w:pPr>
      <w:r w:rsidRPr="000839E7">
        <w:rPr>
          <w:rFonts w:ascii="Times New Roman" w:hAnsi="Times New Roman" w:cs="Times New Roman"/>
          <w:spacing w:val="-10"/>
          <w:u w:val="single"/>
        </w:rPr>
        <w:t>Va sottolineato che questi primi passi sono rimasti eventi isolati</w:t>
      </w:r>
      <w:r w:rsidRPr="000839E7">
        <w:rPr>
          <w:rFonts w:ascii="Times New Roman" w:hAnsi="Times New Roman" w:cs="Times New Roman"/>
          <w:spacing w:val="-10"/>
        </w:rPr>
        <w:t>. Nonostante il D.Lgs. 81/2008 preveda espressamente che nel processo di prevenzione e di valutazione dei rischi si tenga conto delle diversità legate al genere, l’analisi dei rischi e delle fonti di stress nell’Ente, così come tutta la medicina di controllo e prevenzione, ancora non tengono in conto una valutazione delle differenze che va dal genere, all’età, alle diverse tipologie lavorative e non si è ritenuto opportuno attivare corsi di formazione nazionali sulla gestione della salute in ottica di genere.</w:t>
      </w:r>
    </w:p>
    <w:p w14:paraId="02B1CC0C" w14:textId="77777777" w:rsidR="00CA7BD8" w:rsidRPr="000839E7" w:rsidRDefault="00CA7BD8" w:rsidP="00600BEB">
      <w:pPr>
        <w:pStyle w:val="Paragrafoelenco1"/>
        <w:ind w:left="0"/>
        <w:jc w:val="both"/>
        <w:rPr>
          <w:rFonts w:ascii="Times New Roman" w:hAnsi="Times New Roman" w:cs="Times New Roman"/>
          <w:spacing w:val="-10"/>
        </w:rPr>
      </w:pPr>
    </w:p>
    <w:p w14:paraId="79EDAB91" w14:textId="77777777" w:rsidR="00CA7BD8" w:rsidRPr="000839E7" w:rsidRDefault="00CA7BD8" w:rsidP="00600BEB">
      <w:pPr>
        <w:pStyle w:val="Paragrafoelenco1"/>
        <w:ind w:left="0"/>
        <w:jc w:val="both"/>
        <w:rPr>
          <w:rFonts w:ascii="Times New Roman" w:eastAsia="Times New Roman" w:hAnsi="Times New Roman" w:cs="Times New Roman"/>
          <w:spacing w:val="-10"/>
        </w:rPr>
      </w:pPr>
    </w:p>
    <w:p w14:paraId="2DDBD742" w14:textId="77777777" w:rsidR="00CA7BD8" w:rsidRPr="000839E7" w:rsidRDefault="00CA7BD8" w:rsidP="00600BEB">
      <w:pPr>
        <w:pStyle w:val="Paragrafoelenco1"/>
        <w:ind w:left="0"/>
        <w:rPr>
          <w:rFonts w:ascii="Times New Roman" w:hAnsi="Times New Roman" w:cs="Times New Roman"/>
          <w:bCs/>
          <w:spacing w:val="-10"/>
        </w:rPr>
      </w:pPr>
      <w:r w:rsidRPr="000839E7">
        <w:rPr>
          <w:rFonts w:ascii="Times New Roman" w:eastAsia="Times New Roman" w:hAnsi="Times New Roman" w:cs="Times New Roman"/>
          <w:b/>
          <w:spacing w:val="-10"/>
        </w:rPr>
        <w:t>3. Il lavoro della Consigliera di Fiducia</w:t>
      </w:r>
    </w:p>
    <w:p w14:paraId="65DDDA03" w14:textId="77777777" w:rsidR="00CA7BD8" w:rsidRPr="000839E7" w:rsidRDefault="00CA7BD8" w:rsidP="00600BEB">
      <w:pPr>
        <w:pStyle w:val="Paragrafoelenco1"/>
        <w:ind w:left="0"/>
        <w:jc w:val="both"/>
        <w:rPr>
          <w:rFonts w:ascii="Times New Roman" w:hAnsi="Times New Roman" w:cs="Times New Roman"/>
          <w:bCs/>
          <w:spacing w:val="-10"/>
        </w:rPr>
      </w:pPr>
    </w:p>
    <w:p w14:paraId="0B019988" w14:textId="77777777" w:rsidR="00CA7BD8" w:rsidRPr="000839E7" w:rsidRDefault="00CA7BD8" w:rsidP="00600BEB">
      <w:pPr>
        <w:jc w:val="both"/>
        <w:rPr>
          <w:rFonts w:ascii="Times New Roman" w:hAnsi="Times New Roman" w:cs="Times New Roman"/>
          <w:spacing w:val="-10"/>
        </w:rPr>
      </w:pPr>
      <w:r w:rsidRPr="000839E7">
        <w:rPr>
          <w:rFonts w:ascii="Times New Roman" w:hAnsi="Times New Roman" w:cs="Times New Roman"/>
          <w:spacing w:val="-10"/>
        </w:rPr>
        <w:t>La ricerca sul “Benessere Organizzativo e management” è stata il punto centrale dell’attività svolta dalla Consigliera di Fiducia negli ultimi quattro anni attraverso il progetto Magellano, concluso nel 2013 con la somministrazione in tutte le strutture INFN di un questionario a circa 1200 dipendenti. L’analisi dei risultati, effettuata con l’ausilio del CUG, ha prodotto un report completo sul lavoro svolto, che è stato presentato al direttivo e pubblicato</w:t>
      </w:r>
      <w:r w:rsidRPr="000839E7">
        <w:rPr>
          <w:rStyle w:val="Rimandonotaapidipagina"/>
          <w:rFonts w:ascii="Times New Roman" w:hAnsi="Times New Roman" w:cs="Times New Roman"/>
          <w:spacing w:val="-10"/>
        </w:rPr>
        <w:footnoteReference w:id="6"/>
      </w:r>
      <w:r w:rsidRPr="000839E7">
        <w:rPr>
          <w:rFonts w:ascii="Times New Roman" w:hAnsi="Times New Roman" w:cs="Times New Roman"/>
          <w:spacing w:val="-10"/>
        </w:rPr>
        <w:t xml:space="preserve">. </w:t>
      </w:r>
      <w:r w:rsidRPr="000839E7">
        <w:rPr>
          <w:rFonts w:ascii="Times New Roman" w:hAnsi="Times New Roman" w:cs="Times New Roman"/>
          <w:spacing w:val="-10"/>
          <w:u w:val="single"/>
        </w:rPr>
        <w:t>Il report evidenzia criticità nella percezione dell’equità e della valorizzazione del merito e delle competenze</w:t>
      </w:r>
      <w:r w:rsidRPr="000839E7">
        <w:rPr>
          <w:rFonts w:ascii="Times New Roman" w:hAnsi="Times New Roman" w:cs="Times New Roman"/>
          <w:spacing w:val="-10"/>
        </w:rPr>
        <w:t xml:space="preserve">. Come azioni di miglioramento, sono stati organizzati dalla Consigliera 11 incontri in altrettante strutture dell’Ente per l’analisi delle criticità locali. </w:t>
      </w:r>
    </w:p>
    <w:p w14:paraId="576BB439" w14:textId="77777777" w:rsidR="00CA7BD8" w:rsidRPr="000839E7" w:rsidRDefault="00CA7BD8" w:rsidP="00600BEB">
      <w:pPr>
        <w:jc w:val="both"/>
        <w:rPr>
          <w:rFonts w:ascii="Times New Roman" w:hAnsi="Times New Roman" w:cs="Times New Roman"/>
          <w:spacing w:val="-10"/>
        </w:rPr>
      </w:pPr>
    </w:p>
    <w:p w14:paraId="59EDC2ED" w14:textId="77777777" w:rsidR="00CA7BD8" w:rsidRPr="000839E7" w:rsidRDefault="00CA7BD8" w:rsidP="00600BEB">
      <w:pPr>
        <w:jc w:val="both"/>
        <w:rPr>
          <w:rFonts w:ascii="Times New Roman" w:hAnsi="Times New Roman" w:cs="Times New Roman"/>
          <w:spacing w:val="-10"/>
        </w:rPr>
      </w:pPr>
      <w:r w:rsidRPr="000839E7">
        <w:rPr>
          <w:rFonts w:ascii="Times New Roman" w:hAnsi="Times New Roman" w:cs="Times New Roman"/>
          <w:spacing w:val="-10"/>
        </w:rPr>
        <w:t>Onde intercettare e risolvere i disagi e le criticità organizzative, evidenziati anche dal report finale del precedente progetto, e per elaborarli secondo un percorso strutturato, individuando interventi locali di miglioramento, è stato proposto - in una collaborazione fra la Consigliera di Fiducia e il CUG – un percorso per la creazione in tutte le strutture dell’Ente di circoli di ascolto organizzativi. Il progetto, che prevede anche una fase formativa, è per ora in fase di stallo e di ridiscussione con il direttivo. Va evidenziato che punti di forza di questa iniziativa consistono nella partecipazione diretta e nella responsabilizzazione del personale, nella sperimentazione di una metodologia di problem solving, nella proposizione di momenti di ascolto costante e strutturato, e nell’intervento capillare a livello locale di progettazione di interventi condivisi di miglioramento. Modalità relazionali e decisionali queste del tutto nuove al contesto dell’Istituto e pertanto forse di non facile accettazione.</w:t>
      </w:r>
    </w:p>
    <w:p w14:paraId="115BDE3C" w14:textId="77777777" w:rsidR="00CA7BD8" w:rsidRPr="000839E7" w:rsidRDefault="00CA7BD8" w:rsidP="00600BEB">
      <w:pPr>
        <w:jc w:val="both"/>
        <w:rPr>
          <w:rFonts w:ascii="Times New Roman" w:hAnsi="Times New Roman" w:cs="Times New Roman"/>
          <w:spacing w:val="-10"/>
        </w:rPr>
      </w:pPr>
    </w:p>
    <w:p w14:paraId="0C695900" w14:textId="77777777" w:rsidR="00CA7BD8" w:rsidRPr="000839E7" w:rsidRDefault="00CA7BD8" w:rsidP="00600BEB">
      <w:pPr>
        <w:pStyle w:val="Paragrafoelenco1"/>
        <w:ind w:left="0"/>
        <w:jc w:val="both"/>
        <w:rPr>
          <w:rFonts w:ascii="Times New Roman" w:eastAsia="Times New Roman" w:hAnsi="Times New Roman" w:cs="Times New Roman"/>
          <w:spacing w:val="-10"/>
        </w:rPr>
      </w:pPr>
      <w:r w:rsidRPr="000839E7">
        <w:rPr>
          <w:rFonts w:ascii="Times New Roman" w:eastAsia="Times New Roman" w:hAnsi="Times New Roman" w:cs="Times New Roman"/>
          <w:spacing w:val="-10"/>
        </w:rPr>
        <w:t xml:space="preserve">Ogni anno la Consigliera presenta al presidente e alla giunta una relazione annuale sui casi di “disagio”. Dal 2009, anno di insediamento dell’attuale consigliera, il numero di casi di “disagio” affrontati sono stati : 22 nel  2009, 18 nel 2010, 4 nel 2011, 2 nel 2012, 4 nel 2013, 12 nel 2014. Da notare il decremento di casi denunciati nel periodo "clou"  (2012) del progetto Benessere, durante il quale la Consigliera è stata presente nelle sezioni, a cui fa riscontro un nuovo forte aumento nel 2014. </w:t>
      </w:r>
    </w:p>
    <w:p w14:paraId="40880721" w14:textId="77777777" w:rsidR="00CA7BD8" w:rsidRPr="000839E7" w:rsidRDefault="00CA7BD8" w:rsidP="00600BEB">
      <w:pPr>
        <w:pStyle w:val="Paragrafoelenco1"/>
        <w:ind w:left="0"/>
        <w:jc w:val="both"/>
        <w:rPr>
          <w:rFonts w:ascii="Times New Roman" w:eastAsia="Times New Roman" w:hAnsi="Times New Roman" w:cs="Times New Roman"/>
          <w:spacing w:val="-10"/>
        </w:rPr>
      </w:pPr>
    </w:p>
    <w:p w14:paraId="3D864452" w14:textId="2F43246E" w:rsidR="00CA7BD8" w:rsidRPr="000839E7" w:rsidRDefault="00CA7BD8" w:rsidP="00600BEB">
      <w:pPr>
        <w:pStyle w:val="Paragrafoelenco1"/>
        <w:ind w:left="0"/>
        <w:jc w:val="both"/>
        <w:rPr>
          <w:rFonts w:ascii="Times New Roman" w:eastAsia="Times New Roman" w:hAnsi="Times New Roman" w:cs="Times New Roman"/>
          <w:spacing w:val="-10"/>
        </w:rPr>
      </w:pPr>
      <w:r w:rsidRPr="000839E7">
        <w:rPr>
          <w:rFonts w:ascii="Times New Roman" w:eastAsia="Times New Roman" w:hAnsi="Times New Roman" w:cs="Times New Roman"/>
          <w:spacing w:val="-10"/>
        </w:rPr>
        <w:t>I problemi affrontati sono, in generale, relativi alla gestione (non positiva) della flessibilità del personale da parte del management in caso di maternità, problemi di salute, impegni di cura familiare ed il disagio derivante da problemi</w:t>
      </w:r>
      <w:r w:rsidR="006542B9">
        <w:rPr>
          <w:rFonts w:ascii="Times New Roman" w:eastAsia="Times New Roman" w:hAnsi="Times New Roman" w:cs="Times New Roman"/>
          <w:spacing w:val="-10"/>
        </w:rPr>
        <w:t xml:space="preserve"> </w:t>
      </w:r>
      <w:r w:rsidRPr="000839E7">
        <w:rPr>
          <w:rFonts w:ascii="Times New Roman" w:eastAsia="Times New Roman" w:hAnsi="Times New Roman" w:cs="Times New Roman"/>
          <w:spacing w:val="-10"/>
        </w:rPr>
        <w:lastRenderedPageBreak/>
        <w:t>relazionali fra superiori o colleghi non gestiti adeguatamente dal management. Vi sono stati 3 casi legati alla maternità/ attività di cura e 3 di "vessazione" relazionale. Un caso di molestie sessuali si è avuto solo nel 2013.</w:t>
      </w:r>
    </w:p>
    <w:p w14:paraId="62F7D4A1" w14:textId="77777777" w:rsidR="00CA7BD8" w:rsidRPr="000839E7" w:rsidRDefault="00CA7BD8" w:rsidP="00600BEB">
      <w:pPr>
        <w:jc w:val="both"/>
        <w:rPr>
          <w:rFonts w:ascii="Times New Roman" w:eastAsia="Times New Roman" w:hAnsi="Times New Roman" w:cs="Times New Roman"/>
          <w:spacing w:val="-10"/>
        </w:rPr>
      </w:pPr>
    </w:p>
    <w:p w14:paraId="58A51255" w14:textId="77777777" w:rsidR="00CA7BD8" w:rsidRPr="000839E7" w:rsidRDefault="00CA7BD8" w:rsidP="00600BEB">
      <w:pPr>
        <w:rPr>
          <w:rFonts w:ascii="Times New Roman" w:hAnsi="Times New Roman" w:cs="Times New Roman"/>
          <w:b/>
          <w:spacing w:val="-10"/>
        </w:rPr>
      </w:pPr>
      <w:r w:rsidRPr="000839E7">
        <w:rPr>
          <w:rFonts w:ascii="Times New Roman" w:hAnsi="Times New Roman" w:cs="Times New Roman"/>
          <w:b/>
          <w:spacing w:val="-10"/>
        </w:rPr>
        <w:t>4. Prospettive e Conclusioni</w:t>
      </w:r>
    </w:p>
    <w:p w14:paraId="4FBD2BA8" w14:textId="77777777" w:rsidR="00CA7BD8" w:rsidRPr="000839E7" w:rsidRDefault="00CA7BD8" w:rsidP="00600BEB">
      <w:pPr>
        <w:jc w:val="both"/>
        <w:rPr>
          <w:rFonts w:ascii="Times New Roman" w:hAnsi="Times New Roman" w:cs="Times New Roman"/>
          <w:b/>
          <w:spacing w:val="-10"/>
        </w:rPr>
      </w:pPr>
    </w:p>
    <w:p w14:paraId="2740B1A3" w14:textId="77777777" w:rsidR="00CA7BD8" w:rsidRPr="000839E7" w:rsidRDefault="00CA7BD8" w:rsidP="00600BEB">
      <w:pPr>
        <w:jc w:val="both"/>
        <w:rPr>
          <w:rFonts w:ascii="Times New Roman" w:hAnsi="Times New Roman" w:cs="Times New Roman"/>
          <w:spacing w:val="-10"/>
        </w:rPr>
      </w:pPr>
      <w:r w:rsidRPr="000839E7">
        <w:rPr>
          <w:rFonts w:ascii="Times New Roman" w:hAnsi="Times New Roman" w:cs="Times New Roman"/>
          <w:spacing w:val="-10"/>
        </w:rPr>
        <w:t>Il PTAP 2014-2016</w:t>
      </w:r>
      <w:r w:rsidRPr="000839E7">
        <w:rPr>
          <w:rStyle w:val="Rimandonotaapidipagina"/>
          <w:rFonts w:ascii="Times New Roman" w:hAnsi="Times New Roman" w:cs="Times New Roman"/>
          <w:spacing w:val="-10"/>
        </w:rPr>
        <w:footnoteReference w:id="7"/>
      </w:r>
      <w:r w:rsidRPr="000839E7">
        <w:rPr>
          <w:rFonts w:ascii="Times New Roman" w:hAnsi="Times New Roman" w:cs="Times New Roman"/>
          <w:spacing w:val="-10"/>
        </w:rPr>
        <w:t xml:space="preserve"> è stato approvato dall'Ente a marzo 2015. Esso è stato predisposto dal CUG nel luglio 2014 avendo come principi guida i) la consapevolezza che, nonostante tangibili progressi, permangono rilevanti discriminazioni basate sull’appartenenza al sesso, all’età e al ruolo professionale; ii) le raccomandazioni della Commissione Europea,</w:t>
      </w:r>
      <w:r w:rsidRPr="000839E7">
        <w:rPr>
          <w:rStyle w:val="Rimandonotaapidipagina"/>
          <w:rFonts w:ascii="Times New Roman" w:hAnsi="Times New Roman" w:cs="Times New Roman"/>
          <w:spacing w:val="-10"/>
        </w:rPr>
        <w:footnoteReference w:id="8"/>
      </w:r>
      <w:r w:rsidRPr="000839E7">
        <w:rPr>
          <w:rFonts w:ascii="Times New Roman" w:hAnsi="Times New Roman" w:cs="Times New Roman"/>
          <w:spacing w:val="-10"/>
        </w:rPr>
        <w:t xml:space="preserve"> delle norme del Codice di comportamento dei pubblici dipendenti e delle Linee Guida per la trasparenza e contro la corruzione dell'ANAC; iv) i suggerimenti emersi dalle relazione del Benessere Organizzativo</w:t>
      </w:r>
      <w:r w:rsidRPr="000839E7">
        <w:rPr>
          <w:rStyle w:val="Rimandonotaapidipagina"/>
          <w:rFonts w:ascii="Times New Roman" w:hAnsi="Times New Roman" w:cs="Times New Roman"/>
          <w:spacing w:val="-10"/>
        </w:rPr>
        <w:footnoteReference w:id="9"/>
      </w:r>
      <w:r w:rsidRPr="000839E7">
        <w:rPr>
          <w:rFonts w:ascii="Times New Roman" w:hAnsi="Times New Roman" w:cs="Times New Roman"/>
          <w:spacing w:val="-10"/>
        </w:rPr>
        <w:t xml:space="preserve"> e del gender audit del progetto europeo GenisLab</w:t>
      </w:r>
      <w:r w:rsidRPr="000839E7">
        <w:rPr>
          <w:rStyle w:val="Rimandonotaapidipagina"/>
          <w:rFonts w:ascii="Times New Roman" w:hAnsi="Times New Roman" w:cs="Times New Roman"/>
          <w:spacing w:val="-10"/>
        </w:rPr>
        <w:footnoteReference w:id="10"/>
      </w:r>
      <w:r w:rsidRPr="000839E7">
        <w:rPr>
          <w:rFonts w:ascii="Times New Roman" w:hAnsi="Times New Roman" w:cs="Times New Roman"/>
          <w:spacing w:val="-10"/>
        </w:rPr>
        <w:t>; v) le analisi del CUG e vi) le osservazione del Comitato di Valutazione Internazionale dell’Ente.</w:t>
      </w:r>
    </w:p>
    <w:p w14:paraId="77EB7960" w14:textId="77777777" w:rsidR="00CA7BD8" w:rsidRPr="000839E7" w:rsidRDefault="00CA7BD8" w:rsidP="00600BEB">
      <w:pPr>
        <w:widowControl w:val="0"/>
        <w:jc w:val="both"/>
        <w:rPr>
          <w:rFonts w:ascii="Times New Roman" w:hAnsi="Times New Roman" w:cs="Times New Roman"/>
          <w:spacing w:val="-10"/>
        </w:rPr>
      </w:pPr>
    </w:p>
    <w:p w14:paraId="1F9C5CCD" w14:textId="77777777" w:rsidR="00CA7BD8" w:rsidRPr="000839E7" w:rsidRDefault="00CA7BD8" w:rsidP="00600BEB">
      <w:pPr>
        <w:widowControl w:val="0"/>
        <w:jc w:val="both"/>
        <w:rPr>
          <w:rFonts w:ascii="Times New Roman" w:hAnsi="Times New Roman" w:cs="Times New Roman"/>
          <w:spacing w:val="-10"/>
        </w:rPr>
      </w:pPr>
      <w:r w:rsidRPr="000839E7">
        <w:rPr>
          <w:rFonts w:ascii="Times New Roman" w:hAnsi="Times New Roman" w:cs="Times New Roman"/>
          <w:spacing w:val="-10"/>
        </w:rPr>
        <w:t xml:space="preserve">L'aspetto nuovo del PTAP 2014-16 è l'attenzione ad azioni volte a rimuovere le </w:t>
      </w:r>
      <w:r w:rsidRPr="000839E7">
        <w:rPr>
          <w:rFonts w:ascii="Times New Roman" w:hAnsi="Times New Roman" w:cs="Times New Roman"/>
          <w:i/>
          <w:spacing w:val="-10"/>
        </w:rPr>
        <w:t>barriere strutturali</w:t>
      </w:r>
      <w:r w:rsidRPr="000839E7">
        <w:rPr>
          <w:rFonts w:ascii="Times New Roman" w:hAnsi="Times New Roman" w:cs="Times New Roman"/>
          <w:spacing w:val="-10"/>
        </w:rPr>
        <w:t xml:space="preserve"> che fungono da ostacolo per una reale parità e pari opportunità per tutto il personale, come evidenziato dalle aree d'intervento in esso definite:</w:t>
      </w:r>
    </w:p>
    <w:p w14:paraId="4CA0E0F0" w14:textId="77777777" w:rsidR="00CA7BD8" w:rsidRPr="000839E7" w:rsidRDefault="00CA7BD8" w:rsidP="00600BEB">
      <w:pPr>
        <w:pStyle w:val="Paragrafoelenco1"/>
        <w:widowControl w:val="0"/>
        <w:numPr>
          <w:ilvl w:val="0"/>
          <w:numId w:val="5"/>
        </w:numPr>
        <w:ind w:left="0" w:firstLine="0"/>
        <w:rPr>
          <w:rFonts w:ascii="Times New Roman" w:hAnsi="Times New Roman" w:cs="Times New Roman"/>
          <w:spacing w:val="-10"/>
        </w:rPr>
      </w:pPr>
      <w:r w:rsidRPr="000839E7">
        <w:rPr>
          <w:rFonts w:ascii="Times New Roman" w:hAnsi="Times New Roman" w:cs="Times New Roman"/>
          <w:spacing w:val="-10"/>
        </w:rPr>
        <w:t>aumentare la trasparenza nei processi decisionali e aumentare la circolazione delle informazioni;</w:t>
      </w:r>
    </w:p>
    <w:p w14:paraId="52E2476E" w14:textId="77777777" w:rsidR="00CA7BD8" w:rsidRPr="000839E7" w:rsidRDefault="00CA7BD8" w:rsidP="00600BEB">
      <w:pPr>
        <w:pStyle w:val="Paragrafoelenco1"/>
        <w:widowControl w:val="0"/>
        <w:numPr>
          <w:ilvl w:val="0"/>
          <w:numId w:val="5"/>
        </w:numPr>
        <w:ind w:left="0" w:firstLine="0"/>
        <w:rPr>
          <w:rFonts w:ascii="Times New Roman" w:hAnsi="Times New Roman" w:cs="Times New Roman"/>
          <w:spacing w:val="-10"/>
        </w:rPr>
      </w:pPr>
      <w:r w:rsidRPr="000839E7">
        <w:rPr>
          <w:rFonts w:ascii="Times New Roman" w:hAnsi="Times New Roman" w:cs="Times New Roman"/>
          <w:spacing w:val="-10"/>
        </w:rPr>
        <w:t>rimuovere i pregiudizi inconsapevoli dalle pratiche istituzionali;</w:t>
      </w:r>
    </w:p>
    <w:p w14:paraId="4DDB248C" w14:textId="77777777" w:rsidR="00CA7BD8" w:rsidRPr="000839E7" w:rsidRDefault="00CA7BD8" w:rsidP="00600BEB">
      <w:pPr>
        <w:pStyle w:val="Paragrafoelenco1"/>
        <w:widowControl w:val="0"/>
        <w:numPr>
          <w:ilvl w:val="0"/>
          <w:numId w:val="5"/>
        </w:numPr>
        <w:ind w:left="0" w:firstLine="0"/>
        <w:rPr>
          <w:rFonts w:ascii="Times New Roman" w:hAnsi="Times New Roman" w:cs="Times New Roman"/>
          <w:spacing w:val="-10"/>
        </w:rPr>
      </w:pPr>
      <w:r w:rsidRPr="000839E7">
        <w:rPr>
          <w:rFonts w:ascii="Times New Roman" w:hAnsi="Times New Roman" w:cs="Times New Roman"/>
          <w:spacing w:val="-10"/>
        </w:rPr>
        <w:t>promuovere l'eccellenza attraverso la promozione della diversità;</w:t>
      </w:r>
    </w:p>
    <w:p w14:paraId="6B15E3AD" w14:textId="77777777" w:rsidR="00CA7BD8" w:rsidRPr="000839E7" w:rsidRDefault="00CA7BD8" w:rsidP="00600BEB">
      <w:pPr>
        <w:pStyle w:val="Paragrafoelenco1"/>
        <w:widowControl w:val="0"/>
        <w:numPr>
          <w:ilvl w:val="0"/>
          <w:numId w:val="5"/>
        </w:numPr>
        <w:ind w:left="0" w:firstLine="0"/>
        <w:rPr>
          <w:rFonts w:ascii="Times New Roman" w:hAnsi="Times New Roman" w:cs="Times New Roman"/>
          <w:spacing w:val="-10"/>
        </w:rPr>
      </w:pPr>
      <w:r w:rsidRPr="000839E7">
        <w:rPr>
          <w:rFonts w:ascii="Times New Roman" w:hAnsi="Times New Roman" w:cs="Times New Roman"/>
          <w:spacing w:val="-10"/>
        </w:rPr>
        <w:t>migliorare la ricerca attraverso l'integrazione della prospettiva di genere;</w:t>
      </w:r>
    </w:p>
    <w:p w14:paraId="41CC555D" w14:textId="77777777" w:rsidR="00CA7BD8" w:rsidRPr="000839E7" w:rsidRDefault="00CA7BD8" w:rsidP="00600BEB">
      <w:pPr>
        <w:pStyle w:val="Paragrafoelenco1"/>
        <w:widowControl w:val="0"/>
        <w:numPr>
          <w:ilvl w:val="0"/>
          <w:numId w:val="5"/>
        </w:numPr>
        <w:ind w:left="0" w:firstLine="0"/>
        <w:rPr>
          <w:rFonts w:ascii="Times New Roman" w:hAnsi="Times New Roman" w:cs="Times New Roman"/>
          <w:spacing w:val="-10"/>
        </w:rPr>
      </w:pPr>
      <w:r w:rsidRPr="000839E7">
        <w:rPr>
          <w:rFonts w:ascii="Times New Roman" w:hAnsi="Times New Roman" w:cs="Times New Roman"/>
          <w:spacing w:val="-10"/>
        </w:rPr>
        <w:t>migliorare la gestione del personale e l'ambiente di lavoro.</w:t>
      </w:r>
    </w:p>
    <w:p w14:paraId="56F3B1D1" w14:textId="77777777" w:rsidR="00CA7BD8" w:rsidRPr="000839E7" w:rsidRDefault="00CA7BD8" w:rsidP="00600BEB">
      <w:pPr>
        <w:widowControl w:val="0"/>
        <w:rPr>
          <w:rFonts w:ascii="Times New Roman" w:hAnsi="Times New Roman" w:cs="Times New Roman"/>
          <w:spacing w:val="-10"/>
        </w:rPr>
      </w:pPr>
    </w:p>
    <w:p w14:paraId="5DF98161" w14:textId="77777777" w:rsidR="00CA7BD8" w:rsidRPr="000839E7" w:rsidRDefault="00CA7BD8" w:rsidP="00600BEB">
      <w:pPr>
        <w:widowControl w:val="0"/>
        <w:jc w:val="both"/>
        <w:rPr>
          <w:rFonts w:ascii="Times New Roman" w:hAnsi="Times New Roman" w:cs="Times New Roman"/>
          <w:spacing w:val="-10"/>
        </w:rPr>
      </w:pPr>
      <w:r w:rsidRPr="000839E7">
        <w:rPr>
          <w:rFonts w:ascii="Times New Roman" w:hAnsi="Times New Roman" w:cs="Times New Roman"/>
          <w:spacing w:val="-10"/>
        </w:rPr>
        <w:t>Le azioni specifiche per ogni area sono elencate in dettaglio nel Piano. Per la loro realizzazione sarà necessario curare alcuni aspetti critici emersi durante i primi quattro anni di attività del CUG.</w:t>
      </w:r>
    </w:p>
    <w:p w14:paraId="44BAA431" w14:textId="77777777" w:rsidR="00CA7BD8" w:rsidRPr="000839E7" w:rsidRDefault="00CA7BD8" w:rsidP="006542B9">
      <w:pPr>
        <w:widowControl w:val="0"/>
        <w:spacing w:before="120"/>
        <w:jc w:val="both"/>
        <w:rPr>
          <w:rFonts w:ascii="Times New Roman" w:hAnsi="Times New Roman" w:cs="Times New Roman"/>
          <w:spacing w:val="-10"/>
        </w:rPr>
      </w:pPr>
      <w:r w:rsidRPr="000839E7">
        <w:rPr>
          <w:rFonts w:ascii="Times New Roman" w:hAnsi="Times New Roman" w:cs="Times New Roman"/>
          <w:spacing w:val="-10"/>
        </w:rPr>
        <w:t>In particolare, il Comitato dovrebbe garantire:</w:t>
      </w:r>
    </w:p>
    <w:p w14:paraId="4739BEBF" w14:textId="77777777" w:rsidR="00CA7BD8" w:rsidRPr="000839E7" w:rsidRDefault="00CA7BD8" w:rsidP="00600BEB">
      <w:pPr>
        <w:widowControl w:val="0"/>
        <w:jc w:val="both"/>
        <w:rPr>
          <w:rFonts w:ascii="Times New Roman" w:hAnsi="Times New Roman" w:cs="Times New Roman"/>
          <w:spacing w:val="-10"/>
        </w:rPr>
      </w:pPr>
      <w:r w:rsidRPr="000839E7">
        <w:rPr>
          <w:rFonts w:ascii="Times New Roman" w:hAnsi="Times New Roman" w:cs="Times New Roman"/>
          <w:spacing w:val="-10"/>
        </w:rPr>
        <w:t>1) la formazione del personale sulle questioni di sua competenza;</w:t>
      </w:r>
    </w:p>
    <w:p w14:paraId="0D578227" w14:textId="77777777" w:rsidR="00CA7BD8" w:rsidRPr="000839E7" w:rsidRDefault="00CA7BD8" w:rsidP="00600BEB">
      <w:pPr>
        <w:widowControl w:val="0"/>
        <w:jc w:val="both"/>
        <w:rPr>
          <w:rFonts w:ascii="Times New Roman" w:hAnsi="Times New Roman" w:cs="Times New Roman"/>
          <w:spacing w:val="-10"/>
        </w:rPr>
      </w:pPr>
      <w:r w:rsidRPr="000839E7">
        <w:rPr>
          <w:rFonts w:ascii="Times New Roman" w:hAnsi="Times New Roman" w:cs="Times New Roman"/>
          <w:spacing w:val="-10"/>
        </w:rPr>
        <w:t>2) una maggiore aderenza alle procedure indicate nel regolamento;</w:t>
      </w:r>
    </w:p>
    <w:p w14:paraId="7128C0B2" w14:textId="77777777" w:rsidR="00CA7BD8" w:rsidRPr="000839E7" w:rsidRDefault="00CA7BD8" w:rsidP="00600BEB">
      <w:pPr>
        <w:widowControl w:val="0"/>
        <w:jc w:val="both"/>
        <w:rPr>
          <w:rFonts w:ascii="Times New Roman" w:hAnsi="Times New Roman" w:cs="Times New Roman"/>
          <w:spacing w:val="-10"/>
        </w:rPr>
      </w:pPr>
      <w:r w:rsidRPr="000839E7">
        <w:rPr>
          <w:rFonts w:ascii="Times New Roman" w:hAnsi="Times New Roman" w:cs="Times New Roman"/>
          <w:spacing w:val="-10"/>
        </w:rPr>
        <w:t xml:space="preserve">3) una più diffusa e puntuale comunicazione con il personale, affinché quest'ultimo sia meglio informato sulle attività del CUG e il Comitato possa più adeguatamente recepirne le esigenze. </w:t>
      </w:r>
    </w:p>
    <w:p w14:paraId="43756526" w14:textId="77777777" w:rsidR="00CA7BD8" w:rsidRPr="000839E7" w:rsidRDefault="00CA7BD8" w:rsidP="00600BEB">
      <w:pPr>
        <w:widowControl w:val="0"/>
        <w:jc w:val="both"/>
        <w:rPr>
          <w:rFonts w:ascii="Times New Roman" w:hAnsi="Times New Roman" w:cs="Times New Roman"/>
          <w:spacing w:val="-10"/>
        </w:rPr>
      </w:pPr>
    </w:p>
    <w:p w14:paraId="09B63FA5" w14:textId="77777777" w:rsidR="00CA7BD8" w:rsidRPr="000839E7" w:rsidRDefault="00CA7BD8" w:rsidP="00600BEB">
      <w:pPr>
        <w:widowControl w:val="0"/>
        <w:jc w:val="both"/>
        <w:rPr>
          <w:rFonts w:ascii="Times New Roman" w:hAnsi="Times New Roman" w:cs="Times New Roman"/>
          <w:spacing w:val="-10"/>
        </w:rPr>
      </w:pPr>
      <w:r w:rsidRPr="000839E7">
        <w:rPr>
          <w:rFonts w:ascii="Times New Roman" w:hAnsi="Times New Roman" w:cs="Times New Roman"/>
          <w:spacing w:val="-10"/>
        </w:rPr>
        <w:t xml:space="preserve">Si raccomanda all'ente la realizzazione delle misure presentate nel V PTAP recentemente approvato, creando le condizioni per l'applicazione dello stesso: </w:t>
      </w:r>
    </w:p>
    <w:p w14:paraId="2FB45271" w14:textId="77777777" w:rsidR="00CA7BD8" w:rsidRPr="000839E7" w:rsidRDefault="00CA7BD8" w:rsidP="00600BEB">
      <w:pPr>
        <w:widowControl w:val="0"/>
        <w:jc w:val="both"/>
        <w:rPr>
          <w:rFonts w:ascii="Times New Roman" w:hAnsi="Times New Roman" w:cs="Times New Roman"/>
          <w:spacing w:val="-10"/>
        </w:rPr>
      </w:pPr>
    </w:p>
    <w:p w14:paraId="33CB870D" w14:textId="77777777" w:rsidR="00CA7BD8" w:rsidRPr="000839E7" w:rsidRDefault="00CA7BD8" w:rsidP="00600BEB">
      <w:pPr>
        <w:widowControl w:val="0"/>
        <w:jc w:val="both"/>
        <w:rPr>
          <w:rFonts w:ascii="Times New Roman" w:eastAsia="Times New Roman" w:hAnsi="Times New Roman" w:cs="Times New Roman"/>
          <w:spacing w:val="-10"/>
        </w:rPr>
      </w:pPr>
      <w:r w:rsidRPr="000839E7">
        <w:rPr>
          <w:rFonts w:ascii="Times New Roman" w:hAnsi="Times New Roman" w:cs="Times New Roman"/>
          <w:spacing w:val="-10"/>
        </w:rPr>
        <w:t xml:space="preserve">1) la dirigenza si faccia maggiormente parte attiva nelle questioni </w:t>
      </w:r>
      <w:r w:rsidRPr="000839E7">
        <w:rPr>
          <w:rFonts w:ascii="Times New Roman" w:eastAsia="Times New Roman" w:hAnsi="Times New Roman" w:cs="Times New Roman"/>
          <w:spacing w:val="-10"/>
        </w:rPr>
        <w:t>di pari opportunità, di valorizzazione del benessere di chi lavora e contro le discriminazioni</w:t>
      </w:r>
      <w:r w:rsidRPr="000839E7">
        <w:rPr>
          <w:rFonts w:ascii="Times New Roman" w:hAnsi="Times New Roman" w:cs="Times New Roman"/>
          <w:spacing w:val="-10"/>
        </w:rPr>
        <w:t>;</w:t>
      </w:r>
      <w:r w:rsidRPr="000839E7">
        <w:rPr>
          <w:rFonts w:ascii="Times New Roman" w:eastAsia="Times New Roman" w:hAnsi="Times New Roman" w:cs="Times New Roman"/>
          <w:spacing w:val="-10"/>
        </w:rPr>
        <w:t xml:space="preserve"> </w:t>
      </w:r>
    </w:p>
    <w:p w14:paraId="2208DAF0" w14:textId="77777777" w:rsidR="00CA7BD8" w:rsidRPr="000839E7" w:rsidRDefault="00CA7BD8" w:rsidP="00600BEB">
      <w:pPr>
        <w:widowControl w:val="0"/>
        <w:jc w:val="both"/>
        <w:rPr>
          <w:rFonts w:ascii="Times New Roman" w:hAnsi="Times New Roman" w:cs="Times New Roman"/>
          <w:spacing w:val="-10"/>
        </w:rPr>
      </w:pPr>
      <w:r w:rsidRPr="000839E7">
        <w:rPr>
          <w:rFonts w:ascii="Times New Roman" w:eastAsia="Times New Roman" w:hAnsi="Times New Roman" w:cs="Times New Roman"/>
          <w:spacing w:val="-10"/>
        </w:rPr>
        <w:t>2) ci sia una maggiore trasparenza, in particolare in tutti suoi processi decisionali;</w:t>
      </w:r>
    </w:p>
    <w:p w14:paraId="48C3DB2A" w14:textId="77777777" w:rsidR="00CA7BD8" w:rsidRPr="000839E7" w:rsidRDefault="00CA7BD8" w:rsidP="00600BEB">
      <w:pPr>
        <w:widowControl w:val="0"/>
        <w:jc w:val="both"/>
        <w:rPr>
          <w:rFonts w:ascii="Times New Roman" w:hAnsi="Times New Roman" w:cs="Times New Roman"/>
          <w:spacing w:val="-10"/>
        </w:rPr>
      </w:pPr>
      <w:r w:rsidRPr="000839E7">
        <w:rPr>
          <w:rFonts w:ascii="Times New Roman" w:hAnsi="Times New Roman" w:cs="Times New Roman"/>
          <w:spacing w:val="-10"/>
        </w:rPr>
        <w:t>3) il "Bilancio delle risorse umane" diventi operativo facendo sì che il  monitoraggio dei dati del personale sia uno strumento dell'Ente stesso;</w:t>
      </w:r>
    </w:p>
    <w:p w14:paraId="1CBBBA05" w14:textId="77777777" w:rsidR="00CA7BD8" w:rsidRPr="000839E7" w:rsidRDefault="00CA7BD8" w:rsidP="00600BEB">
      <w:pPr>
        <w:widowControl w:val="0"/>
        <w:jc w:val="both"/>
        <w:rPr>
          <w:rFonts w:ascii="Times New Roman" w:hAnsi="Times New Roman" w:cs="Times New Roman"/>
          <w:spacing w:val="-10"/>
        </w:rPr>
      </w:pPr>
      <w:r w:rsidRPr="000839E7">
        <w:rPr>
          <w:rFonts w:ascii="Times New Roman" w:hAnsi="Times New Roman" w:cs="Times New Roman"/>
          <w:spacing w:val="-10"/>
        </w:rPr>
        <w:t>4) venga avviata la procedura di HRS.</w:t>
      </w:r>
    </w:p>
    <w:p w14:paraId="68DC0A89" w14:textId="77777777" w:rsidR="00CA7BD8" w:rsidRPr="000839E7" w:rsidRDefault="00CA7BD8" w:rsidP="00600BEB">
      <w:pPr>
        <w:widowControl w:val="0"/>
        <w:jc w:val="both"/>
        <w:rPr>
          <w:rFonts w:ascii="Times New Roman" w:hAnsi="Times New Roman" w:cs="Times New Roman"/>
          <w:spacing w:val="-10"/>
        </w:rPr>
      </w:pPr>
      <w:r w:rsidRPr="000839E7">
        <w:rPr>
          <w:rFonts w:ascii="Times New Roman" w:hAnsi="Times New Roman" w:cs="Times New Roman"/>
          <w:spacing w:val="-10"/>
        </w:rPr>
        <w:t>5) le direzioni e i servizi dell'Amministrazione Centrale diano pieno supporto per lo svolgimento delle attività dei gruppi di lavoro CUG;</w:t>
      </w:r>
    </w:p>
    <w:p w14:paraId="0E4ADC43" w14:textId="052EA819" w:rsidR="00CA7BD8" w:rsidRPr="006542B9" w:rsidRDefault="00CA7BD8" w:rsidP="006542B9">
      <w:pPr>
        <w:widowControl w:val="0"/>
        <w:jc w:val="both"/>
        <w:rPr>
          <w:rFonts w:ascii="Times New Roman" w:eastAsia="Times New Roman" w:hAnsi="Times New Roman" w:cs="Times New Roman"/>
          <w:spacing w:val="-10"/>
        </w:rPr>
      </w:pPr>
      <w:r w:rsidRPr="000839E7">
        <w:rPr>
          <w:rFonts w:ascii="Times New Roman" w:hAnsi="Times New Roman" w:cs="Times New Roman"/>
          <w:spacing w:val="-10"/>
        </w:rPr>
        <w:t xml:space="preserve">6) </w:t>
      </w:r>
      <w:r w:rsidRPr="000839E7">
        <w:rPr>
          <w:rFonts w:ascii="Times New Roman" w:eastAsia="Times New Roman" w:hAnsi="Times New Roman" w:cs="Times New Roman"/>
          <w:spacing w:val="-10"/>
        </w:rPr>
        <w:t xml:space="preserve">la </w:t>
      </w:r>
      <w:r w:rsidRPr="000839E7">
        <w:rPr>
          <w:rFonts w:ascii="Times New Roman" w:eastAsia="Times New Roman" w:hAnsi="Times New Roman" w:cs="Times New Roman"/>
          <w:i/>
          <w:spacing w:val="-10"/>
        </w:rPr>
        <w:t xml:space="preserve">Circolare che regola i rapporti fra CUG e Strutture dell'Istituto </w:t>
      </w:r>
      <w:r w:rsidRPr="000839E7">
        <w:rPr>
          <w:rFonts w:ascii="Times New Roman" w:hAnsi="Times New Roman" w:cs="Times New Roman"/>
          <w:spacing w:val="-10"/>
        </w:rPr>
        <w:t xml:space="preserve">sia approvata, </w:t>
      </w:r>
      <w:r w:rsidRPr="000839E7">
        <w:rPr>
          <w:rFonts w:ascii="Times New Roman" w:eastAsia="Times New Roman" w:hAnsi="Times New Roman" w:cs="Times New Roman"/>
          <w:spacing w:val="-10"/>
        </w:rPr>
        <w:t xml:space="preserve">in modo da </w:t>
      </w:r>
      <w:r w:rsidRPr="000839E7">
        <w:rPr>
          <w:rFonts w:ascii="Times New Roman" w:hAnsi="Times New Roman" w:cs="Times New Roman"/>
          <w:spacing w:val="-10"/>
        </w:rPr>
        <w:t xml:space="preserve">assicurare una comunicazione efficace e continuativa con il CUG. </w:t>
      </w:r>
    </w:p>
    <w:sectPr w:rsidR="00CA7BD8" w:rsidRPr="006542B9" w:rsidSect="000839E7">
      <w:footerReference w:type="even" r:id="rId12"/>
      <w:footerReference w:type="default" r:id="rId13"/>
      <w:pgSz w:w="12240" w:h="15840"/>
      <w:pgMar w:top="851" w:right="1041" w:bottom="284" w:left="851" w:header="720" w:footer="720" w:gutter="0"/>
      <w:cols w:space="72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9C732" w14:textId="77777777" w:rsidR="00DB7F2E" w:rsidRDefault="00DB7F2E">
      <w:r>
        <w:separator/>
      </w:r>
    </w:p>
  </w:endnote>
  <w:endnote w:type="continuationSeparator" w:id="0">
    <w:p w14:paraId="559FE789" w14:textId="77777777" w:rsidR="00DB7F2E" w:rsidRDefault="00DB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Medium">
    <w:panose1 w:val="020B0604020202020204"/>
    <w:charset w:val="00"/>
    <w:family w:val="auto"/>
    <w:pitch w:val="variable"/>
    <w:sig w:usb0="8000000F" w:usb1="10002042" w:usb2="00000000" w:usb3="00000000" w:csb0="0000009B" w:csb1="00000000"/>
  </w:font>
  <w:font w:name="Helvetica Neue Light">
    <w:panose1 w:val="02000403000000020004"/>
    <w:charset w:val="00"/>
    <w:family w:val="auto"/>
    <w:pitch w:val="variable"/>
    <w:sig w:usb0="8000007F" w:usb1="0000000A" w:usb2="00000000" w:usb3="00000000" w:csb0="00000007" w:csb1="00000000"/>
  </w:font>
  <w:font w:name="Helvetica Neue">
    <w:panose1 w:val="02000503000000020004"/>
    <w:charset w:val="00"/>
    <w:family w:val="auto"/>
    <w:pitch w:val="variable"/>
    <w:sig w:usb0="80000067" w:usb1="00000000" w:usb2="00000000" w:usb3="00000000" w:csb0="00000001" w:csb1="00000000"/>
  </w:font>
  <w:font w:name="MS Serif">
    <w:altName w:val="Cambria"/>
    <w:panose1 w:val="000000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D5E62" w14:textId="77777777" w:rsidR="00DB7F2E" w:rsidRPr="00D14624" w:rsidRDefault="00DB7F2E" w:rsidP="00D14624">
    <w:pPr>
      <w:pStyle w:val="Pidipagina"/>
      <w:framePr w:wrap="around" w:vAnchor="text" w:hAnchor="margin" w:xAlign="outside" w:y="1"/>
      <w:rPr>
        <w:rStyle w:val="Numeropagina"/>
        <w:sz w:val="20"/>
        <w:szCs w:val="20"/>
      </w:rPr>
    </w:pPr>
    <w:r w:rsidRPr="00D14624">
      <w:rPr>
        <w:rStyle w:val="Numeropagina"/>
        <w:sz w:val="20"/>
        <w:szCs w:val="20"/>
      </w:rPr>
      <w:fldChar w:fldCharType="begin"/>
    </w:r>
    <w:r w:rsidRPr="00D14624">
      <w:rPr>
        <w:rStyle w:val="Numeropagina"/>
        <w:sz w:val="20"/>
        <w:szCs w:val="20"/>
      </w:rPr>
      <w:instrText xml:space="preserve">PAGE  </w:instrText>
    </w:r>
    <w:r w:rsidRPr="00D14624">
      <w:rPr>
        <w:rStyle w:val="Numeropagina"/>
        <w:sz w:val="20"/>
        <w:szCs w:val="20"/>
      </w:rPr>
      <w:fldChar w:fldCharType="separate"/>
    </w:r>
    <w:r w:rsidR="00CF537D">
      <w:rPr>
        <w:rStyle w:val="Numeropagina"/>
        <w:noProof/>
        <w:sz w:val="20"/>
        <w:szCs w:val="20"/>
      </w:rPr>
      <w:t>6</w:t>
    </w:r>
    <w:r w:rsidRPr="00D14624">
      <w:rPr>
        <w:rStyle w:val="Numeropagina"/>
        <w:sz w:val="20"/>
        <w:szCs w:val="20"/>
      </w:rPr>
      <w:fldChar w:fldCharType="end"/>
    </w:r>
  </w:p>
  <w:p w14:paraId="3AFA9511" w14:textId="77777777" w:rsidR="00DB7F2E" w:rsidRDefault="00DB7F2E" w:rsidP="00D14624">
    <w:pPr>
      <w:pStyle w:val="Pidipagina"/>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C2016" w14:textId="77777777" w:rsidR="00DB7F2E" w:rsidRPr="00D14624" w:rsidRDefault="00DB7F2E" w:rsidP="00D14624">
    <w:pPr>
      <w:pStyle w:val="Pidipagina"/>
      <w:framePr w:wrap="around" w:vAnchor="text" w:hAnchor="margin" w:xAlign="outside" w:y="1"/>
      <w:rPr>
        <w:rStyle w:val="Numeropagina"/>
        <w:sz w:val="20"/>
        <w:szCs w:val="20"/>
      </w:rPr>
    </w:pPr>
    <w:r w:rsidRPr="00D14624">
      <w:rPr>
        <w:rStyle w:val="Numeropagina"/>
        <w:sz w:val="20"/>
        <w:szCs w:val="20"/>
      </w:rPr>
      <w:fldChar w:fldCharType="begin"/>
    </w:r>
    <w:r w:rsidRPr="00D14624">
      <w:rPr>
        <w:rStyle w:val="Numeropagina"/>
        <w:sz w:val="20"/>
        <w:szCs w:val="20"/>
      </w:rPr>
      <w:instrText xml:space="preserve">PAGE  </w:instrText>
    </w:r>
    <w:r w:rsidRPr="00D14624">
      <w:rPr>
        <w:rStyle w:val="Numeropagina"/>
        <w:sz w:val="20"/>
        <w:szCs w:val="20"/>
      </w:rPr>
      <w:fldChar w:fldCharType="separate"/>
    </w:r>
    <w:r w:rsidR="00CF537D">
      <w:rPr>
        <w:rStyle w:val="Numeropagina"/>
        <w:noProof/>
        <w:sz w:val="20"/>
        <w:szCs w:val="20"/>
      </w:rPr>
      <w:t>5</w:t>
    </w:r>
    <w:r w:rsidRPr="00D14624">
      <w:rPr>
        <w:rStyle w:val="Numeropagina"/>
        <w:sz w:val="20"/>
        <w:szCs w:val="20"/>
      </w:rPr>
      <w:fldChar w:fldCharType="end"/>
    </w:r>
  </w:p>
  <w:p w14:paraId="3357A96F" w14:textId="77777777" w:rsidR="00DB7F2E" w:rsidRDefault="00DB7F2E" w:rsidP="00D14624">
    <w:pPr>
      <w:pStyle w:val="Pidipagina"/>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45258" w14:textId="77777777" w:rsidR="00DB7F2E" w:rsidRDefault="00DB7F2E">
      <w:r>
        <w:separator/>
      </w:r>
    </w:p>
  </w:footnote>
  <w:footnote w:type="continuationSeparator" w:id="0">
    <w:p w14:paraId="19F4DC23" w14:textId="77777777" w:rsidR="00DB7F2E" w:rsidRDefault="00DB7F2E">
      <w:r>
        <w:continuationSeparator/>
      </w:r>
    </w:p>
  </w:footnote>
  <w:footnote w:id="1">
    <w:p w14:paraId="1206C3EA" w14:textId="77777777" w:rsidR="00DB7F2E" w:rsidRPr="002025B6" w:rsidRDefault="00DB7F2E" w:rsidP="00766007">
      <w:pPr>
        <w:rPr>
          <w:rFonts w:ascii="Times New Roman" w:hAnsi="Times New Roman" w:cs="Times New Roman"/>
          <w:sz w:val="20"/>
          <w:szCs w:val="20"/>
        </w:rPr>
      </w:pPr>
      <w:r w:rsidRPr="002025B6">
        <w:rPr>
          <w:rStyle w:val="FootnoteCharacters"/>
          <w:rFonts w:ascii="Times New Roman" w:hAnsi="Times New Roman" w:cs="Times New Roman"/>
          <w:sz w:val="20"/>
          <w:szCs w:val="20"/>
        </w:rPr>
        <w:footnoteRef/>
      </w:r>
      <w:r w:rsidRPr="002025B6">
        <w:rPr>
          <w:rFonts w:ascii="Times New Roman" w:hAnsi="Times New Roman" w:cs="Times New Roman"/>
          <w:sz w:val="20"/>
          <w:szCs w:val="20"/>
        </w:rPr>
        <w:t xml:space="preserve">  Linee guida sulle modalità di funzionamento dei "Comitati Unici di Garanzia per le pari opportunità, la valorizzazione del benessere di chi lavora e contro le discriminazioni" (art. 21, comma 4, Legge 4 novembre 2010, n. 183)</w:t>
      </w:r>
    </w:p>
  </w:footnote>
  <w:footnote w:id="2">
    <w:p w14:paraId="2896ABD2" w14:textId="77777777" w:rsidR="00DB7F2E" w:rsidRPr="002025B6" w:rsidRDefault="00DB7F2E" w:rsidP="00766007">
      <w:pPr>
        <w:rPr>
          <w:rFonts w:ascii="Times New Roman" w:hAnsi="Times New Roman" w:cs="Times New Roman"/>
          <w:sz w:val="20"/>
          <w:szCs w:val="20"/>
        </w:rPr>
      </w:pPr>
      <w:r w:rsidRPr="002025B6">
        <w:rPr>
          <w:rStyle w:val="FootnoteCharacters"/>
          <w:rFonts w:ascii="Times New Roman" w:hAnsi="Times New Roman" w:cs="Times New Roman"/>
          <w:sz w:val="20"/>
          <w:szCs w:val="20"/>
        </w:rPr>
        <w:footnoteRef/>
      </w:r>
      <w:r w:rsidRPr="002025B6">
        <w:rPr>
          <w:rFonts w:ascii="Times New Roman" w:hAnsi="Times New Roman" w:cs="Times New Roman"/>
          <w:sz w:val="20"/>
          <w:szCs w:val="20"/>
        </w:rPr>
        <w:t xml:space="preserve">  Relazioni del CUG alla CVI e relazioni del Gruppo statistico del CUG, sul sito web2.infn.it/CUG</w:t>
      </w:r>
      <w:r w:rsidRPr="002025B6">
        <w:br w:type="page"/>
      </w:r>
    </w:p>
  </w:footnote>
  <w:footnote w:id="3">
    <w:p w14:paraId="3A595966" w14:textId="77777777" w:rsidR="00DB7F2E" w:rsidRPr="002025B6" w:rsidRDefault="00DB7F2E" w:rsidP="002025B6">
      <w:pPr>
        <w:rPr>
          <w:rFonts w:ascii="Times New Roman" w:hAnsi="Times New Roman" w:cs="Times New Roman"/>
          <w:sz w:val="20"/>
          <w:szCs w:val="20"/>
        </w:rPr>
      </w:pPr>
      <w:r w:rsidRPr="002025B6">
        <w:rPr>
          <w:rStyle w:val="FootnoteCharacters"/>
          <w:rFonts w:ascii="Times New Roman" w:hAnsi="Times New Roman" w:cs="Times New Roman"/>
          <w:sz w:val="20"/>
          <w:szCs w:val="20"/>
        </w:rPr>
        <w:footnoteRef/>
      </w:r>
      <w:r w:rsidRPr="002025B6">
        <w:rPr>
          <w:rFonts w:ascii="Times New Roman" w:hAnsi="Times New Roman" w:cs="Times New Roman"/>
          <w:sz w:val="20"/>
          <w:szCs w:val="20"/>
        </w:rPr>
        <w:t xml:space="preserve"> Si veda ad esempio lo studio “Science faculty's subtle gender biases favor male students” (Moss-Racusin 2012) </w:t>
      </w:r>
      <w:hyperlink r:id="rId1" w:history="1">
        <w:r w:rsidRPr="002025B6">
          <w:rPr>
            <w:rStyle w:val="Collegamentoipertestuale"/>
            <w:rFonts w:ascii="Times New Roman" w:hAnsi="Times New Roman" w:cs="Times New Roman"/>
            <w:sz w:val="20"/>
            <w:szCs w:val="20"/>
          </w:rPr>
          <w:t>http://www.pnas.org/content/109/41/16474</w:t>
        </w:r>
      </w:hyperlink>
      <w:r w:rsidRPr="002025B6">
        <w:rPr>
          <w:rFonts w:ascii="Times New Roman" w:hAnsi="Times New Roman" w:cs="Times New Roman"/>
          <w:sz w:val="20"/>
          <w:szCs w:val="20"/>
        </w:rPr>
        <w:t xml:space="preserve"> in cui a fronte dello stesso curriculum, professori di aree scientifiche hanno preferito il candidato maschio rispetto alla candidata femmina.</w:t>
      </w:r>
    </w:p>
  </w:footnote>
  <w:footnote w:id="4">
    <w:p w14:paraId="10C7713A" w14:textId="77777777" w:rsidR="00DB7F2E" w:rsidRPr="002025B6" w:rsidRDefault="00DB7F2E" w:rsidP="002025B6">
      <w:pPr>
        <w:rPr>
          <w:rFonts w:ascii="Times New Roman" w:hAnsi="Times New Roman" w:cs="Times New Roman"/>
          <w:sz w:val="20"/>
          <w:szCs w:val="20"/>
        </w:rPr>
      </w:pPr>
      <w:r w:rsidRPr="002025B6">
        <w:rPr>
          <w:rStyle w:val="FootnoteCharacters"/>
          <w:rFonts w:ascii="Times New Roman" w:hAnsi="Times New Roman" w:cs="Times New Roman"/>
          <w:sz w:val="20"/>
          <w:szCs w:val="20"/>
        </w:rPr>
        <w:footnoteRef/>
      </w:r>
      <w:r w:rsidRPr="002025B6">
        <w:rPr>
          <w:rFonts w:ascii="Times New Roman" w:hAnsi="Times New Roman" w:cs="Times New Roman"/>
          <w:sz w:val="20"/>
          <w:szCs w:val="20"/>
        </w:rPr>
        <w:t xml:space="preserve"> In caso di ricorso, la legge prevede l'onere della prova da parte dell'ente, Legge 10 aprile 1991, n. 125, articolo 4, comma 6. “Quando il ricorrente fornisce elementi di fatto, desunti anche da dati di carattere statistico relativi alle assunzioni, ai regimi retributivi, all'assegnazione di mansioni e qualifiche, ai trasferimenti, alla progressione in carriera e ai licenziamenti, idonei a fondare, in termini precisi e concordanti, la presunzione dell'esistenza di atti, patti o comportamenti discriminatori in ragione del sesso, spetta al convenuto l'onere della prova sull'insussistenza della discriminazione”.</w:t>
      </w:r>
    </w:p>
  </w:footnote>
  <w:footnote w:id="5">
    <w:p w14:paraId="4E4F895F" w14:textId="77777777" w:rsidR="00DB7F2E" w:rsidRPr="000839E7" w:rsidRDefault="00DB7F2E" w:rsidP="000839E7">
      <w:pPr>
        <w:rPr>
          <w:rFonts w:ascii="Times New Roman" w:hAnsi="Times New Roman" w:cs="Times New Roman"/>
          <w:spacing w:val="-10"/>
          <w:sz w:val="20"/>
          <w:szCs w:val="20"/>
        </w:rPr>
      </w:pPr>
      <w:r w:rsidRPr="000839E7">
        <w:rPr>
          <w:rStyle w:val="FootnoteCharacters"/>
          <w:rFonts w:ascii="Times New Roman" w:hAnsi="Times New Roman" w:cs="Times New Roman"/>
          <w:spacing w:val="-10"/>
          <w:sz w:val="20"/>
          <w:szCs w:val="20"/>
        </w:rPr>
        <w:footnoteRef/>
      </w:r>
      <w:r w:rsidRPr="000839E7">
        <w:rPr>
          <w:rFonts w:ascii="Times New Roman" w:hAnsi="Times New Roman" w:cs="Times New Roman"/>
          <w:spacing w:val="-10"/>
          <w:sz w:val="20"/>
          <w:szCs w:val="20"/>
        </w:rPr>
        <w:t xml:space="preserve"> PTAP 2011-2013,  Delibera CD 12017- Il PTAP, in base al Dlgs 198/06, rappresenta il documento programmatico per le amministrazioni dello Stato e gli enti pubblici non economici, finalizzato all'adozione di azioni positive all'interno del contesto organizzativo e di lavoro e all'armonizzazione delle attività per il perseguimento e l'applicazione dei principi di parità e di pari opportunità.</w:t>
      </w:r>
    </w:p>
  </w:footnote>
  <w:footnote w:id="6">
    <w:p w14:paraId="67F49906" w14:textId="55AF4C14" w:rsidR="00DB7F2E" w:rsidRPr="006542B9" w:rsidRDefault="00DB7F2E" w:rsidP="006542B9">
      <w:pPr>
        <w:rPr>
          <w:rFonts w:ascii="Times New Roman" w:hAnsi="Times New Roman" w:cs="Times New Roman"/>
          <w:sz w:val="20"/>
          <w:szCs w:val="20"/>
        </w:rPr>
      </w:pPr>
      <w:r w:rsidRPr="006542B9">
        <w:rPr>
          <w:rStyle w:val="FootnoteCharacters"/>
          <w:rFonts w:ascii="Times New Roman" w:hAnsi="Times New Roman" w:cs="Times New Roman"/>
          <w:sz w:val="20"/>
          <w:szCs w:val="20"/>
        </w:rPr>
        <w:footnoteRef/>
      </w:r>
      <w:r w:rsidRPr="006542B9">
        <w:rPr>
          <w:rFonts w:ascii="Times New Roman" w:hAnsi="Times New Roman" w:cs="Times New Roman"/>
          <w:sz w:val="20"/>
          <w:szCs w:val="20"/>
        </w:rPr>
        <w:t xml:space="preserve"> </w:t>
      </w:r>
      <w:r w:rsidR="006542B9">
        <w:rPr>
          <w:rFonts w:ascii="Times New Roman" w:hAnsi="Times New Roman" w:cs="Times New Roman"/>
          <w:sz w:val="20"/>
          <w:szCs w:val="20"/>
        </w:rPr>
        <w:t xml:space="preserve"> </w:t>
      </w:r>
      <w:r w:rsidRPr="006542B9">
        <w:rPr>
          <w:rFonts w:ascii="Times New Roman" w:hAnsi="Times New Roman" w:cs="Times New Roman"/>
          <w:sz w:val="20"/>
          <w:szCs w:val="20"/>
        </w:rPr>
        <w:t>http://web2.infn.it/presidenza/images/presidenza/Documenti/altro/benessereorganizzativo.pdf</w:t>
      </w:r>
    </w:p>
  </w:footnote>
  <w:footnote w:id="7">
    <w:p w14:paraId="592ADD56" w14:textId="734D3FD1" w:rsidR="00DB7F2E" w:rsidRPr="006542B9" w:rsidRDefault="00DB7F2E" w:rsidP="006542B9">
      <w:pPr>
        <w:tabs>
          <w:tab w:val="left" w:pos="142"/>
        </w:tabs>
        <w:rPr>
          <w:rFonts w:ascii="Times New Roman" w:hAnsi="Times New Roman" w:cs="Times New Roman"/>
          <w:sz w:val="20"/>
          <w:szCs w:val="20"/>
        </w:rPr>
      </w:pPr>
      <w:r w:rsidRPr="006542B9">
        <w:rPr>
          <w:rStyle w:val="FootnoteCharacters"/>
          <w:rFonts w:ascii="Times New Roman" w:hAnsi="Times New Roman" w:cs="Times New Roman"/>
          <w:sz w:val="20"/>
          <w:szCs w:val="20"/>
        </w:rPr>
        <w:footnoteRef/>
      </w:r>
      <w:r w:rsidR="006542B9">
        <w:rPr>
          <w:rFonts w:ascii="Times New Roman" w:hAnsi="Times New Roman" w:cs="Times New Roman"/>
          <w:sz w:val="20"/>
          <w:szCs w:val="20"/>
        </w:rPr>
        <w:tab/>
      </w:r>
      <w:r w:rsidRPr="006542B9">
        <w:rPr>
          <w:rFonts w:ascii="Times New Roman" w:hAnsi="Times New Roman" w:cs="Times New Roman"/>
          <w:sz w:val="20"/>
          <w:szCs w:val="20"/>
        </w:rPr>
        <w:t>V PTAP dell’INFN, Delibera CD 13635</w:t>
      </w:r>
    </w:p>
  </w:footnote>
  <w:footnote w:id="8">
    <w:p w14:paraId="66E0C12E" w14:textId="1B5F08BF" w:rsidR="00DB7F2E" w:rsidRPr="006542B9" w:rsidRDefault="00DB7F2E" w:rsidP="006542B9">
      <w:pPr>
        <w:tabs>
          <w:tab w:val="left" w:pos="142"/>
        </w:tabs>
        <w:rPr>
          <w:rFonts w:ascii="Times New Roman" w:hAnsi="Times New Roman" w:cs="Times New Roman"/>
          <w:sz w:val="20"/>
          <w:szCs w:val="20"/>
        </w:rPr>
      </w:pPr>
      <w:r w:rsidRPr="006542B9">
        <w:rPr>
          <w:rStyle w:val="FootnoteCharacters"/>
          <w:rFonts w:ascii="Times New Roman" w:hAnsi="Times New Roman" w:cs="Times New Roman"/>
          <w:sz w:val="20"/>
          <w:szCs w:val="20"/>
        </w:rPr>
        <w:footnoteRef/>
      </w:r>
      <w:r w:rsidR="006542B9">
        <w:rPr>
          <w:rFonts w:ascii="Times New Roman" w:hAnsi="Times New Roman" w:cs="Times New Roman"/>
          <w:sz w:val="20"/>
          <w:szCs w:val="20"/>
        </w:rPr>
        <w:tab/>
      </w:r>
      <w:r w:rsidRPr="006542B9">
        <w:rPr>
          <w:rFonts w:ascii="Times New Roman" w:hAnsi="Times New Roman" w:cs="Times New Roman"/>
          <w:sz w:val="20"/>
          <w:szCs w:val="20"/>
          <w:lang w:val="en-US"/>
        </w:rPr>
        <w:t>Rapporto finale della Commissione Europea “Structural change in research institutions: Enhancing excellence,</w:t>
      </w:r>
      <w:r w:rsidR="006542B9">
        <w:rPr>
          <w:rFonts w:ascii="Times New Roman" w:hAnsi="Times New Roman" w:cs="Times New Roman"/>
          <w:sz w:val="20"/>
          <w:szCs w:val="20"/>
        </w:rPr>
        <w:t xml:space="preserve"> </w:t>
      </w:r>
      <w:r w:rsidRPr="006542B9">
        <w:rPr>
          <w:rFonts w:ascii="Times New Roman" w:hAnsi="Times New Roman" w:cs="Times New Roman"/>
          <w:sz w:val="20"/>
          <w:szCs w:val="20"/>
          <w:lang w:val="en-US"/>
        </w:rPr>
        <w:t>gender equality and efficiency in research and innovation”, Luxembourg: publication office of the European Union,</w:t>
      </w:r>
      <w:r w:rsidR="006542B9">
        <w:rPr>
          <w:rFonts w:ascii="Times New Roman" w:hAnsi="Times New Roman" w:cs="Times New Roman"/>
          <w:sz w:val="20"/>
          <w:szCs w:val="20"/>
          <w:lang w:val="en-US"/>
        </w:rPr>
        <w:t xml:space="preserve"> </w:t>
      </w:r>
      <w:r w:rsidRPr="006542B9">
        <w:rPr>
          <w:rFonts w:ascii="Times New Roman" w:hAnsi="Times New Roman" w:cs="Times New Roman"/>
          <w:sz w:val="20"/>
          <w:szCs w:val="20"/>
          <w:lang w:val="en-US"/>
        </w:rPr>
        <w:t>2012 http://ec.europa.eu/research/science-society/document_library/pdf_06/structural-changes-final-report_en.pdf</w:t>
      </w:r>
    </w:p>
  </w:footnote>
  <w:footnote w:id="9">
    <w:p w14:paraId="14E95137" w14:textId="39A8848B" w:rsidR="00DB7F2E" w:rsidRPr="006542B9" w:rsidRDefault="00DB7F2E" w:rsidP="006542B9">
      <w:pPr>
        <w:tabs>
          <w:tab w:val="left" w:pos="142"/>
        </w:tabs>
        <w:rPr>
          <w:rFonts w:ascii="Times New Roman" w:hAnsi="Times New Roman" w:cs="Times New Roman"/>
          <w:sz w:val="20"/>
          <w:szCs w:val="20"/>
        </w:rPr>
      </w:pPr>
      <w:r w:rsidRPr="006542B9">
        <w:rPr>
          <w:rStyle w:val="FootnoteCharacters"/>
          <w:rFonts w:ascii="Times New Roman" w:hAnsi="Times New Roman" w:cs="Times New Roman"/>
          <w:sz w:val="20"/>
          <w:szCs w:val="20"/>
        </w:rPr>
        <w:footnoteRef/>
      </w:r>
      <w:r w:rsidR="006542B9">
        <w:rPr>
          <w:rFonts w:ascii="Times New Roman" w:hAnsi="Times New Roman" w:cs="Times New Roman"/>
          <w:sz w:val="20"/>
          <w:szCs w:val="20"/>
        </w:rPr>
        <w:tab/>
      </w:r>
      <w:r w:rsidRPr="006542B9">
        <w:rPr>
          <w:rFonts w:ascii="Times New Roman" w:hAnsi="Times New Roman" w:cs="Times New Roman"/>
          <w:sz w:val="20"/>
          <w:szCs w:val="20"/>
        </w:rPr>
        <w:t>Indagine sul benessere organizzativo, http://www.infn.it/consigliera/files/Indagine%20sul%20benessere%20organizzativo%20nell_INFN.pdf</w:t>
      </w:r>
    </w:p>
  </w:footnote>
  <w:footnote w:id="10">
    <w:p w14:paraId="293E1783" w14:textId="2D5F271D" w:rsidR="00DB7F2E" w:rsidRPr="006542B9" w:rsidRDefault="00DB7F2E" w:rsidP="006542B9">
      <w:pPr>
        <w:tabs>
          <w:tab w:val="left" w:pos="142"/>
        </w:tabs>
        <w:rPr>
          <w:rFonts w:ascii="Times New Roman" w:hAnsi="Times New Roman" w:cs="Times New Roman"/>
          <w:sz w:val="20"/>
          <w:szCs w:val="20"/>
        </w:rPr>
      </w:pPr>
      <w:r w:rsidRPr="006542B9">
        <w:rPr>
          <w:rStyle w:val="FootnoteCharacters"/>
          <w:rFonts w:ascii="Times New Roman" w:hAnsi="Times New Roman" w:cs="Times New Roman"/>
          <w:sz w:val="20"/>
          <w:szCs w:val="20"/>
        </w:rPr>
        <w:footnoteRef/>
      </w:r>
      <w:r w:rsidR="006542B9">
        <w:rPr>
          <w:rFonts w:ascii="Times New Roman" w:hAnsi="Times New Roman" w:cs="Times New Roman"/>
          <w:sz w:val="20"/>
          <w:szCs w:val="20"/>
        </w:rPr>
        <w:t xml:space="preserve"> </w:t>
      </w:r>
      <w:r w:rsidRPr="006542B9">
        <w:rPr>
          <w:rFonts w:ascii="Times New Roman" w:hAnsi="Times New Roman" w:cs="Times New Roman"/>
          <w:sz w:val="20"/>
          <w:szCs w:val="20"/>
        </w:rPr>
        <w:t>https://web2.infn.it/genislab/attachments/article/15/PGA%20INFN%20-%20REPORT%20Final.pdf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4A8E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1440"/>
        </w:tabs>
        <w:ind w:left="14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00000002"/>
    <w:name w:val="WWNum42"/>
    <w:lvl w:ilvl="0">
      <w:start w:val="1"/>
      <w:numFmt w:val="bullet"/>
      <w:lvlText w:val="•"/>
      <w:lvlJc w:val="left"/>
      <w:pPr>
        <w:tabs>
          <w:tab w:val="num" w:pos="0"/>
        </w:tabs>
        <w:ind w:left="720" w:hanging="360"/>
      </w:pPr>
      <w:rPr>
        <w:rFonts w:ascii="Times" w:hAnsi="Times" w:cs="Time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multilevel"/>
    <w:tmpl w:val="00000003"/>
    <w:name w:val="WWNum43"/>
    <w:lvl w:ilvl="0">
      <w:start w:val="1"/>
      <w:numFmt w:val="upp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4"/>
    <w:multiLevelType w:val="multilevel"/>
    <w:tmpl w:val="00000004"/>
    <w:name w:val="WWNum44"/>
    <w:lvl w:ilvl="0">
      <w:start w:val="1"/>
      <w:numFmt w:val="upp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6">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2F5A589F"/>
    <w:multiLevelType w:val="hybridMultilevel"/>
    <w:tmpl w:val="4A2CD44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nsid w:val="687C2E62"/>
    <w:multiLevelType w:val="hybridMultilevel"/>
    <w:tmpl w:val="28FA4362"/>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07"/>
    <w:rsid w:val="000839E7"/>
    <w:rsid w:val="001820A1"/>
    <w:rsid w:val="00201EAE"/>
    <w:rsid w:val="002025B6"/>
    <w:rsid w:val="002B0E7B"/>
    <w:rsid w:val="005C1DBE"/>
    <w:rsid w:val="00600BEB"/>
    <w:rsid w:val="006542B9"/>
    <w:rsid w:val="00766007"/>
    <w:rsid w:val="00AA6438"/>
    <w:rsid w:val="00B53DF2"/>
    <w:rsid w:val="00CA7BD8"/>
    <w:rsid w:val="00CF537D"/>
    <w:rsid w:val="00D14624"/>
    <w:rsid w:val="00D71791"/>
    <w:rsid w:val="00D817F2"/>
    <w:rsid w:val="00D92056"/>
    <w:rsid w:val="00DB7F2E"/>
    <w:rsid w:val="00E23BF6"/>
    <w:rsid w:val="00E35E9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847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Cambria" w:eastAsia="Arial Unicode MS" w:hAnsi="Cambria" w:cs="Tahoma"/>
      <w:sz w:val="24"/>
      <w:szCs w:val="24"/>
      <w:lang w:eastAsia="ar-SA"/>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tyle>
  <w:style w:type="character" w:styleId="Enfasigrassetto">
    <w:name w:val="Strong"/>
    <w:qFormat/>
    <w:rPr>
      <w:b/>
      <w:bCs/>
    </w:rPr>
  </w:style>
  <w:style w:type="character" w:styleId="Collegamentoipertestuale">
    <w:name w:val="Hyperlink"/>
    <w:rPr>
      <w:color w:val="0000FF"/>
      <w:u w:val="single"/>
    </w:rPr>
  </w:style>
  <w:style w:type="character" w:customStyle="1" w:styleId="TestonotaapidipaginaCarattere">
    <w:name w:val="Testo nota a piè di pagina Carattere"/>
    <w:basedOn w:val="Caratterepredefinitoparagrafo1"/>
  </w:style>
  <w:style w:type="character" w:customStyle="1" w:styleId="Rimandonotaapidipagina1">
    <w:name w:val="Rimando nota a piè di pagina1"/>
    <w:rPr>
      <w:vertAlign w:val="superscript"/>
    </w:rPr>
  </w:style>
  <w:style w:type="character" w:customStyle="1" w:styleId="CitazioneHTML1">
    <w:name w:val="Citazione HTML1"/>
    <w:rPr>
      <w:i/>
      <w:iCs/>
    </w:rPr>
  </w:style>
  <w:style w:type="character" w:customStyle="1" w:styleId="Collegamentovisitato1">
    <w:name w:val="Collegamento visitato1"/>
    <w:rPr>
      <w:color w:val="800080"/>
      <w:u w:val="single"/>
    </w:rPr>
  </w:style>
  <w:style w:type="character" w:customStyle="1" w:styleId="TestofumettoCarattere">
    <w:name w:val="Testo fumetto Carattere"/>
    <w:rPr>
      <w:rFonts w:ascii="Lucida Grande" w:hAnsi="Lucida Grande" w:cs="Lucida Grande"/>
      <w:sz w:val="18"/>
      <w:szCs w:val="18"/>
    </w:rPr>
  </w:style>
  <w:style w:type="character" w:styleId="Enfasicorsivo">
    <w:name w:val="Emphasis"/>
    <w:qFormat/>
    <w:rPr>
      <w:i/>
      <w:iCs/>
    </w:rPr>
  </w:style>
  <w:style w:type="character" w:customStyle="1" w:styleId="Hyperlink0">
    <w:name w:val="Hyperlink.0"/>
    <w:rPr>
      <w:color w:val="0000FF"/>
      <w:u w:val="single"/>
    </w:rPr>
  </w:style>
  <w:style w:type="character" w:customStyle="1" w:styleId="PidipaginaCarattere">
    <w:name w:val="Piè di pagina Carattere"/>
    <w:basedOn w:val="Caratterepredefinitoparagrafo1"/>
  </w:style>
  <w:style w:type="character" w:customStyle="1" w:styleId="Numeropagina1">
    <w:name w:val="Numero pagina1"/>
    <w:basedOn w:val="Caratterepredefinitoparagrafo1"/>
  </w:style>
  <w:style w:type="character" w:customStyle="1" w:styleId="ListLabel1">
    <w:name w:val="ListLabel 1"/>
    <w:rPr>
      <w:rFonts w:cs="Courier New"/>
    </w:rPr>
  </w:style>
  <w:style w:type="character" w:customStyle="1" w:styleId="ListLabel2">
    <w:name w:val="ListLabel 2"/>
    <w:rPr>
      <w:b/>
      <w:i w:val="0"/>
      <w:color w:val="00000A"/>
      <w:sz w:val="22"/>
    </w:rPr>
  </w:style>
  <w:style w:type="character" w:customStyle="1" w:styleId="ListLabel3">
    <w:name w:val="ListLabel 3"/>
    <w:rPr>
      <w:color w:val="0000FF"/>
      <w:sz w:val="40"/>
      <w:szCs w:val="40"/>
    </w:rPr>
  </w:style>
  <w:style w:type="character" w:customStyle="1" w:styleId="ListLabel4">
    <w:name w:val="ListLabel 4"/>
    <w:rPr>
      <w:color w:val="0000FF"/>
      <w:sz w:val="24"/>
      <w:szCs w:val="24"/>
    </w:rPr>
  </w:style>
  <w:style w:type="character" w:customStyle="1" w:styleId="ListLabel5">
    <w:name w:val="ListLabel 5"/>
    <w:rPr>
      <w:color w:val="00000A"/>
      <w:sz w:val="24"/>
      <w:szCs w:val="24"/>
    </w:rPr>
  </w:style>
  <w:style w:type="character" w:customStyle="1" w:styleId="ListLabel6">
    <w:name w:val="ListLabel 6"/>
    <w:rPr>
      <w:color w:val="00000A"/>
    </w:rPr>
  </w:style>
  <w:style w:type="character" w:customStyle="1" w:styleId="ListLabel7">
    <w:name w:val="ListLabel 7"/>
    <w:rPr>
      <w:color w:val="4F6228"/>
      <w:sz w:val="24"/>
      <w:szCs w:val="24"/>
    </w:rPr>
  </w:style>
  <w:style w:type="character" w:customStyle="1" w:styleId="ListLabel8">
    <w:name w:val="ListLabel 8"/>
    <w:rPr>
      <w:position w:val="0"/>
      <w:sz w:val="24"/>
      <w:vertAlign w:val="baseline"/>
    </w:rPr>
  </w:style>
  <w:style w:type="character" w:customStyle="1" w:styleId="ListLabel9">
    <w:name w:val="ListLabel 9"/>
    <w:rPr>
      <w:rFonts w:cs="Times"/>
    </w:rPr>
  </w:style>
  <w:style w:type="character" w:customStyle="1" w:styleId="FootnoteCharacters">
    <w:name w:val="Footnote Characters"/>
  </w:style>
  <w:style w:type="character" w:styleId="Rimandonotaapidipagina">
    <w:name w:val="footnote reference"/>
    <w:rPr>
      <w:vertAlign w:val="superscript"/>
    </w:rPr>
  </w:style>
  <w:style w:type="character" w:customStyle="1" w:styleId="NumberingSymbols">
    <w:name w:val="Numbering Symbols"/>
  </w:style>
  <w:style w:type="character" w:styleId="Rimandonotadichiusura">
    <w:name w:val="endnote reference"/>
    <w:rPr>
      <w:vertAlign w:val="superscript"/>
    </w:rPr>
  </w:style>
  <w:style w:type="character" w:customStyle="1" w:styleId="EndnoteCharacters">
    <w:name w:val="Endnote Characters"/>
  </w:style>
  <w:style w:type="paragraph" w:customStyle="1" w:styleId="Heading">
    <w:name w:val="Heading"/>
    <w:basedOn w:val="Normale"/>
    <w:next w:val="Corpodeltesto"/>
    <w:pPr>
      <w:keepNext/>
      <w:spacing w:before="240" w:after="120"/>
    </w:pPr>
    <w:rPr>
      <w:rFonts w:ascii="Arial" w:hAnsi="Arial" w:cs="Arial Unicode MS"/>
      <w:sz w:val="28"/>
      <w:szCs w:val="28"/>
    </w:rPr>
  </w:style>
  <w:style w:type="paragraph" w:styleId="Corpodeltesto">
    <w:name w:val="Body Text"/>
    <w:basedOn w:val="Normale"/>
    <w:pPr>
      <w:spacing w:after="120"/>
    </w:pPr>
  </w:style>
  <w:style w:type="paragraph" w:styleId="Elenco">
    <w:name w:val="List"/>
    <w:basedOn w:val="Corpodeltesto"/>
  </w:style>
  <w:style w:type="paragraph" w:customStyle="1" w:styleId="Caption">
    <w:name w:val="Caption"/>
    <w:basedOn w:val="Normale"/>
    <w:pPr>
      <w:suppressLineNumbers/>
      <w:spacing w:before="120" w:after="120"/>
    </w:pPr>
    <w:rPr>
      <w:i/>
      <w:iCs/>
    </w:rPr>
  </w:style>
  <w:style w:type="paragraph" w:customStyle="1" w:styleId="Index">
    <w:name w:val="Index"/>
    <w:basedOn w:val="Normale"/>
    <w:pPr>
      <w:suppressLineNumbers/>
    </w:pPr>
  </w:style>
  <w:style w:type="paragraph" w:customStyle="1" w:styleId="Paragrafoelenco1">
    <w:name w:val="Paragrafo elenco1"/>
    <w:basedOn w:val="Normale"/>
    <w:pPr>
      <w:ind w:left="720"/>
    </w:pPr>
  </w:style>
  <w:style w:type="paragraph" w:customStyle="1" w:styleId="Testonotaapidipagina1">
    <w:name w:val="Testo nota a piè di pagina1"/>
    <w:basedOn w:val="Normale"/>
  </w:style>
  <w:style w:type="paragraph" w:customStyle="1" w:styleId="Normale1">
    <w:name w:val="Normale1"/>
    <w:pPr>
      <w:suppressAutoHyphens/>
      <w:spacing w:line="276" w:lineRule="auto"/>
    </w:pPr>
    <w:rPr>
      <w:rFonts w:ascii="Arial" w:eastAsia="Arial" w:hAnsi="Arial" w:cs="Arial"/>
      <w:color w:val="000000"/>
      <w:sz w:val="22"/>
      <w:szCs w:val="24"/>
      <w:lang w:eastAsia="ar-SA"/>
    </w:rPr>
  </w:style>
  <w:style w:type="paragraph" w:customStyle="1" w:styleId="Testofumetto1">
    <w:name w:val="Testo fumetto1"/>
    <w:basedOn w:val="Normale"/>
    <w:rPr>
      <w:rFonts w:ascii="Lucida Grande" w:hAnsi="Lucida Grande" w:cs="Lucida Grande"/>
      <w:sz w:val="18"/>
      <w:szCs w:val="18"/>
    </w:rPr>
  </w:style>
  <w:style w:type="paragraph" w:customStyle="1" w:styleId="Body2">
    <w:name w:val="Body 2"/>
    <w:pPr>
      <w:tabs>
        <w:tab w:val="left" w:pos="6000"/>
      </w:tabs>
      <w:suppressAutoHyphens/>
      <w:spacing w:line="312" w:lineRule="auto"/>
    </w:pPr>
    <w:rPr>
      <w:rFonts w:ascii="Helvetica Neue Medium" w:eastAsia="Arial Unicode MS" w:hAnsi="Helvetica Neue Medium" w:cs="Arial Unicode MS"/>
      <w:color w:val="222222"/>
      <w:lang w:eastAsia="ar-SA"/>
    </w:rPr>
  </w:style>
  <w:style w:type="paragraph" w:customStyle="1" w:styleId="TableStyle2A">
    <w:name w:val="Table Style 2 A"/>
    <w:pPr>
      <w:suppressAutoHyphens/>
    </w:pPr>
    <w:rPr>
      <w:rFonts w:ascii="Helvetica Neue Light" w:eastAsia="Arial Unicode MS" w:hAnsi="Helvetica Neue Light" w:cs="Arial Unicode MS"/>
      <w:color w:val="000000"/>
      <w:lang w:eastAsia="ar-SA"/>
    </w:rPr>
  </w:style>
  <w:style w:type="paragraph" w:customStyle="1" w:styleId="FreeForm">
    <w:name w:val="Free Form"/>
    <w:pPr>
      <w:suppressAutoHyphens/>
      <w:spacing w:after="240" w:line="312" w:lineRule="auto"/>
    </w:pPr>
    <w:rPr>
      <w:rFonts w:ascii="Helvetica Neue" w:eastAsia="Helvetica Neue" w:hAnsi="Helvetica Neue" w:cs="Helvetica Neue"/>
      <w:color w:val="222222"/>
      <w:sz w:val="22"/>
      <w:szCs w:val="22"/>
      <w:lang w:eastAsia="ar-SA"/>
    </w:rPr>
  </w:style>
  <w:style w:type="paragraph" w:styleId="Pidipagina">
    <w:name w:val="footer"/>
    <w:basedOn w:val="Normale"/>
    <w:pPr>
      <w:suppressLineNumbers/>
      <w:tabs>
        <w:tab w:val="center" w:pos="4819"/>
        <w:tab w:val="right" w:pos="9638"/>
      </w:tabs>
    </w:pPr>
  </w:style>
  <w:style w:type="paragraph" w:styleId="Testonotaapidipagina">
    <w:name w:val="footnote text"/>
    <w:basedOn w:val="Normale"/>
    <w:pPr>
      <w:suppressLineNumbers/>
      <w:ind w:left="283" w:hanging="283"/>
    </w:pPr>
    <w:rPr>
      <w:sz w:val="20"/>
      <w:szCs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character" w:styleId="Numeropagina">
    <w:name w:val="page number"/>
    <w:basedOn w:val="Caratterepredefinitoparagrafo"/>
    <w:uiPriority w:val="99"/>
    <w:semiHidden/>
    <w:unhideWhenUsed/>
    <w:rsid w:val="00D14624"/>
  </w:style>
  <w:style w:type="paragraph" w:styleId="Intestazione">
    <w:name w:val="header"/>
    <w:basedOn w:val="Normale"/>
    <w:link w:val="IntestazioneCarattere"/>
    <w:uiPriority w:val="99"/>
    <w:unhideWhenUsed/>
    <w:rsid w:val="00D14624"/>
    <w:pPr>
      <w:tabs>
        <w:tab w:val="center" w:pos="4819"/>
        <w:tab w:val="right" w:pos="9638"/>
      </w:tabs>
    </w:pPr>
  </w:style>
  <w:style w:type="character" w:customStyle="1" w:styleId="IntestazioneCarattere">
    <w:name w:val="Intestazione Carattere"/>
    <w:basedOn w:val="Caratterepredefinitoparagrafo"/>
    <w:link w:val="Intestazione"/>
    <w:uiPriority w:val="99"/>
    <w:rsid w:val="00D14624"/>
    <w:rPr>
      <w:rFonts w:ascii="Cambria" w:eastAsia="Arial Unicode MS" w:hAnsi="Cambria" w:cs="Tahoma"/>
      <w:sz w:val="24"/>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Cambria" w:eastAsia="Arial Unicode MS" w:hAnsi="Cambria" w:cs="Tahoma"/>
      <w:sz w:val="24"/>
      <w:szCs w:val="24"/>
      <w:lang w:eastAsia="ar-SA"/>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tyle>
  <w:style w:type="character" w:styleId="Enfasigrassetto">
    <w:name w:val="Strong"/>
    <w:qFormat/>
    <w:rPr>
      <w:b/>
      <w:bCs/>
    </w:rPr>
  </w:style>
  <w:style w:type="character" w:styleId="Collegamentoipertestuale">
    <w:name w:val="Hyperlink"/>
    <w:rPr>
      <w:color w:val="0000FF"/>
      <w:u w:val="single"/>
    </w:rPr>
  </w:style>
  <w:style w:type="character" w:customStyle="1" w:styleId="TestonotaapidipaginaCarattere">
    <w:name w:val="Testo nota a piè di pagina Carattere"/>
    <w:basedOn w:val="Caratterepredefinitoparagrafo1"/>
  </w:style>
  <w:style w:type="character" w:customStyle="1" w:styleId="Rimandonotaapidipagina1">
    <w:name w:val="Rimando nota a piè di pagina1"/>
    <w:rPr>
      <w:vertAlign w:val="superscript"/>
    </w:rPr>
  </w:style>
  <w:style w:type="character" w:customStyle="1" w:styleId="CitazioneHTML1">
    <w:name w:val="Citazione HTML1"/>
    <w:rPr>
      <w:i/>
      <w:iCs/>
    </w:rPr>
  </w:style>
  <w:style w:type="character" w:customStyle="1" w:styleId="Collegamentovisitato1">
    <w:name w:val="Collegamento visitato1"/>
    <w:rPr>
      <w:color w:val="800080"/>
      <w:u w:val="single"/>
    </w:rPr>
  </w:style>
  <w:style w:type="character" w:customStyle="1" w:styleId="TestofumettoCarattere">
    <w:name w:val="Testo fumetto Carattere"/>
    <w:rPr>
      <w:rFonts w:ascii="Lucida Grande" w:hAnsi="Lucida Grande" w:cs="Lucida Grande"/>
      <w:sz w:val="18"/>
      <w:szCs w:val="18"/>
    </w:rPr>
  </w:style>
  <w:style w:type="character" w:styleId="Enfasicorsivo">
    <w:name w:val="Emphasis"/>
    <w:qFormat/>
    <w:rPr>
      <w:i/>
      <w:iCs/>
    </w:rPr>
  </w:style>
  <w:style w:type="character" w:customStyle="1" w:styleId="Hyperlink0">
    <w:name w:val="Hyperlink.0"/>
    <w:rPr>
      <w:color w:val="0000FF"/>
      <w:u w:val="single"/>
    </w:rPr>
  </w:style>
  <w:style w:type="character" w:customStyle="1" w:styleId="PidipaginaCarattere">
    <w:name w:val="Piè di pagina Carattere"/>
    <w:basedOn w:val="Caratterepredefinitoparagrafo1"/>
  </w:style>
  <w:style w:type="character" w:customStyle="1" w:styleId="Numeropagina1">
    <w:name w:val="Numero pagina1"/>
    <w:basedOn w:val="Caratterepredefinitoparagrafo1"/>
  </w:style>
  <w:style w:type="character" w:customStyle="1" w:styleId="ListLabel1">
    <w:name w:val="ListLabel 1"/>
    <w:rPr>
      <w:rFonts w:cs="Courier New"/>
    </w:rPr>
  </w:style>
  <w:style w:type="character" w:customStyle="1" w:styleId="ListLabel2">
    <w:name w:val="ListLabel 2"/>
    <w:rPr>
      <w:b/>
      <w:i w:val="0"/>
      <w:color w:val="00000A"/>
      <w:sz w:val="22"/>
    </w:rPr>
  </w:style>
  <w:style w:type="character" w:customStyle="1" w:styleId="ListLabel3">
    <w:name w:val="ListLabel 3"/>
    <w:rPr>
      <w:color w:val="0000FF"/>
      <w:sz w:val="40"/>
      <w:szCs w:val="40"/>
    </w:rPr>
  </w:style>
  <w:style w:type="character" w:customStyle="1" w:styleId="ListLabel4">
    <w:name w:val="ListLabel 4"/>
    <w:rPr>
      <w:color w:val="0000FF"/>
      <w:sz w:val="24"/>
      <w:szCs w:val="24"/>
    </w:rPr>
  </w:style>
  <w:style w:type="character" w:customStyle="1" w:styleId="ListLabel5">
    <w:name w:val="ListLabel 5"/>
    <w:rPr>
      <w:color w:val="00000A"/>
      <w:sz w:val="24"/>
      <w:szCs w:val="24"/>
    </w:rPr>
  </w:style>
  <w:style w:type="character" w:customStyle="1" w:styleId="ListLabel6">
    <w:name w:val="ListLabel 6"/>
    <w:rPr>
      <w:color w:val="00000A"/>
    </w:rPr>
  </w:style>
  <w:style w:type="character" w:customStyle="1" w:styleId="ListLabel7">
    <w:name w:val="ListLabel 7"/>
    <w:rPr>
      <w:color w:val="4F6228"/>
      <w:sz w:val="24"/>
      <w:szCs w:val="24"/>
    </w:rPr>
  </w:style>
  <w:style w:type="character" w:customStyle="1" w:styleId="ListLabel8">
    <w:name w:val="ListLabel 8"/>
    <w:rPr>
      <w:position w:val="0"/>
      <w:sz w:val="24"/>
      <w:vertAlign w:val="baseline"/>
    </w:rPr>
  </w:style>
  <w:style w:type="character" w:customStyle="1" w:styleId="ListLabel9">
    <w:name w:val="ListLabel 9"/>
    <w:rPr>
      <w:rFonts w:cs="Times"/>
    </w:rPr>
  </w:style>
  <w:style w:type="character" w:customStyle="1" w:styleId="FootnoteCharacters">
    <w:name w:val="Footnote Characters"/>
  </w:style>
  <w:style w:type="character" w:styleId="Rimandonotaapidipagina">
    <w:name w:val="footnote reference"/>
    <w:rPr>
      <w:vertAlign w:val="superscript"/>
    </w:rPr>
  </w:style>
  <w:style w:type="character" w:customStyle="1" w:styleId="NumberingSymbols">
    <w:name w:val="Numbering Symbols"/>
  </w:style>
  <w:style w:type="character" w:styleId="Rimandonotadichiusura">
    <w:name w:val="endnote reference"/>
    <w:rPr>
      <w:vertAlign w:val="superscript"/>
    </w:rPr>
  </w:style>
  <w:style w:type="character" w:customStyle="1" w:styleId="EndnoteCharacters">
    <w:name w:val="Endnote Characters"/>
  </w:style>
  <w:style w:type="paragraph" w:customStyle="1" w:styleId="Heading">
    <w:name w:val="Heading"/>
    <w:basedOn w:val="Normale"/>
    <w:next w:val="Corpodeltesto"/>
    <w:pPr>
      <w:keepNext/>
      <w:spacing w:before="240" w:after="120"/>
    </w:pPr>
    <w:rPr>
      <w:rFonts w:ascii="Arial" w:hAnsi="Arial" w:cs="Arial Unicode MS"/>
      <w:sz w:val="28"/>
      <w:szCs w:val="28"/>
    </w:rPr>
  </w:style>
  <w:style w:type="paragraph" w:styleId="Corpodeltesto">
    <w:name w:val="Body Text"/>
    <w:basedOn w:val="Normale"/>
    <w:pPr>
      <w:spacing w:after="120"/>
    </w:pPr>
  </w:style>
  <w:style w:type="paragraph" w:styleId="Elenco">
    <w:name w:val="List"/>
    <w:basedOn w:val="Corpodeltesto"/>
  </w:style>
  <w:style w:type="paragraph" w:customStyle="1" w:styleId="Caption">
    <w:name w:val="Caption"/>
    <w:basedOn w:val="Normale"/>
    <w:pPr>
      <w:suppressLineNumbers/>
      <w:spacing w:before="120" w:after="120"/>
    </w:pPr>
    <w:rPr>
      <w:i/>
      <w:iCs/>
    </w:rPr>
  </w:style>
  <w:style w:type="paragraph" w:customStyle="1" w:styleId="Index">
    <w:name w:val="Index"/>
    <w:basedOn w:val="Normale"/>
    <w:pPr>
      <w:suppressLineNumbers/>
    </w:pPr>
  </w:style>
  <w:style w:type="paragraph" w:customStyle="1" w:styleId="Paragrafoelenco1">
    <w:name w:val="Paragrafo elenco1"/>
    <w:basedOn w:val="Normale"/>
    <w:pPr>
      <w:ind w:left="720"/>
    </w:pPr>
  </w:style>
  <w:style w:type="paragraph" w:customStyle="1" w:styleId="Testonotaapidipagina1">
    <w:name w:val="Testo nota a piè di pagina1"/>
    <w:basedOn w:val="Normale"/>
  </w:style>
  <w:style w:type="paragraph" w:customStyle="1" w:styleId="Normale1">
    <w:name w:val="Normale1"/>
    <w:pPr>
      <w:suppressAutoHyphens/>
      <w:spacing w:line="276" w:lineRule="auto"/>
    </w:pPr>
    <w:rPr>
      <w:rFonts w:ascii="Arial" w:eastAsia="Arial" w:hAnsi="Arial" w:cs="Arial"/>
      <w:color w:val="000000"/>
      <w:sz w:val="22"/>
      <w:szCs w:val="24"/>
      <w:lang w:eastAsia="ar-SA"/>
    </w:rPr>
  </w:style>
  <w:style w:type="paragraph" w:customStyle="1" w:styleId="Testofumetto1">
    <w:name w:val="Testo fumetto1"/>
    <w:basedOn w:val="Normale"/>
    <w:rPr>
      <w:rFonts w:ascii="Lucida Grande" w:hAnsi="Lucida Grande" w:cs="Lucida Grande"/>
      <w:sz w:val="18"/>
      <w:szCs w:val="18"/>
    </w:rPr>
  </w:style>
  <w:style w:type="paragraph" w:customStyle="1" w:styleId="Body2">
    <w:name w:val="Body 2"/>
    <w:pPr>
      <w:tabs>
        <w:tab w:val="left" w:pos="6000"/>
      </w:tabs>
      <w:suppressAutoHyphens/>
      <w:spacing w:line="312" w:lineRule="auto"/>
    </w:pPr>
    <w:rPr>
      <w:rFonts w:ascii="Helvetica Neue Medium" w:eastAsia="Arial Unicode MS" w:hAnsi="Helvetica Neue Medium" w:cs="Arial Unicode MS"/>
      <w:color w:val="222222"/>
      <w:lang w:eastAsia="ar-SA"/>
    </w:rPr>
  </w:style>
  <w:style w:type="paragraph" w:customStyle="1" w:styleId="TableStyle2A">
    <w:name w:val="Table Style 2 A"/>
    <w:pPr>
      <w:suppressAutoHyphens/>
    </w:pPr>
    <w:rPr>
      <w:rFonts w:ascii="Helvetica Neue Light" w:eastAsia="Arial Unicode MS" w:hAnsi="Helvetica Neue Light" w:cs="Arial Unicode MS"/>
      <w:color w:val="000000"/>
      <w:lang w:eastAsia="ar-SA"/>
    </w:rPr>
  </w:style>
  <w:style w:type="paragraph" w:customStyle="1" w:styleId="FreeForm">
    <w:name w:val="Free Form"/>
    <w:pPr>
      <w:suppressAutoHyphens/>
      <w:spacing w:after="240" w:line="312" w:lineRule="auto"/>
    </w:pPr>
    <w:rPr>
      <w:rFonts w:ascii="Helvetica Neue" w:eastAsia="Helvetica Neue" w:hAnsi="Helvetica Neue" w:cs="Helvetica Neue"/>
      <w:color w:val="222222"/>
      <w:sz w:val="22"/>
      <w:szCs w:val="22"/>
      <w:lang w:eastAsia="ar-SA"/>
    </w:rPr>
  </w:style>
  <w:style w:type="paragraph" w:styleId="Pidipagina">
    <w:name w:val="footer"/>
    <w:basedOn w:val="Normale"/>
    <w:pPr>
      <w:suppressLineNumbers/>
      <w:tabs>
        <w:tab w:val="center" w:pos="4819"/>
        <w:tab w:val="right" w:pos="9638"/>
      </w:tabs>
    </w:pPr>
  </w:style>
  <w:style w:type="paragraph" w:styleId="Testonotaapidipagina">
    <w:name w:val="footnote text"/>
    <w:basedOn w:val="Normale"/>
    <w:pPr>
      <w:suppressLineNumbers/>
      <w:ind w:left="283" w:hanging="283"/>
    </w:pPr>
    <w:rPr>
      <w:sz w:val="20"/>
      <w:szCs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character" w:styleId="Numeropagina">
    <w:name w:val="page number"/>
    <w:basedOn w:val="Caratterepredefinitoparagrafo"/>
    <w:uiPriority w:val="99"/>
    <w:semiHidden/>
    <w:unhideWhenUsed/>
    <w:rsid w:val="00D14624"/>
  </w:style>
  <w:style w:type="paragraph" w:styleId="Intestazione">
    <w:name w:val="header"/>
    <w:basedOn w:val="Normale"/>
    <w:link w:val="IntestazioneCarattere"/>
    <w:uiPriority w:val="99"/>
    <w:unhideWhenUsed/>
    <w:rsid w:val="00D14624"/>
    <w:pPr>
      <w:tabs>
        <w:tab w:val="center" w:pos="4819"/>
        <w:tab w:val="right" w:pos="9638"/>
      </w:tabs>
    </w:pPr>
  </w:style>
  <w:style w:type="character" w:customStyle="1" w:styleId="IntestazioneCarattere">
    <w:name w:val="Intestazione Carattere"/>
    <w:basedOn w:val="Caratterepredefinitoparagrafo"/>
    <w:link w:val="Intestazione"/>
    <w:uiPriority w:val="99"/>
    <w:rsid w:val="00D14624"/>
    <w:rPr>
      <w:rFonts w:ascii="Cambria" w:eastAsia="Arial Unicode MS" w:hAnsi="Cambria" w:cs="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pnas.org/content/109/41/1647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4265</Words>
  <Characters>24311</Characters>
  <Application>Microsoft Macintosh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28519</CharactersWithSpaces>
  <SharedDoc>false</SharedDoc>
  <HLinks>
    <vt:vector size="6" baseType="variant">
      <vt:variant>
        <vt:i4>786507</vt:i4>
      </vt:variant>
      <vt:variant>
        <vt:i4>0</vt:i4>
      </vt:variant>
      <vt:variant>
        <vt:i4>0</vt:i4>
      </vt:variant>
      <vt:variant>
        <vt:i4>5</vt:i4>
      </vt:variant>
      <vt:variant>
        <vt:lpwstr>http://www.pnas.org/content/109/41/16474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gargano</dc:creator>
  <cp:keywords/>
  <cp:lastModifiedBy>Maria Rosaria Masullo</cp:lastModifiedBy>
  <cp:revision>10</cp:revision>
  <cp:lastPrinted>2015-10-24T15:33:00Z</cp:lastPrinted>
  <dcterms:created xsi:type="dcterms:W3CDTF">2015-10-24T15:48:00Z</dcterms:created>
  <dcterms:modified xsi:type="dcterms:W3CDTF">2015-10-26T11:14:00Z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infn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