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0E8EC" w14:textId="5589E7D6" w:rsidR="001753DA" w:rsidRPr="00C71C8E" w:rsidRDefault="006062E2" w:rsidP="00AC2042">
      <w:pPr>
        <w:spacing w:after="0"/>
        <w:jc w:val="both"/>
        <w:rPr>
          <w:rFonts w:cs="Arial"/>
          <w:b/>
          <w:sz w:val="28"/>
          <w:szCs w:val="28"/>
        </w:rPr>
      </w:pPr>
      <w:bookmarkStart w:id="0" w:name="_GoBack"/>
      <w:bookmarkEnd w:id="0"/>
      <w:r w:rsidRPr="00C71C8E">
        <w:rPr>
          <w:rFonts w:cs="Arial"/>
          <w:b/>
          <w:sz w:val="28"/>
          <w:szCs w:val="28"/>
        </w:rPr>
        <w:t>Pari</w:t>
      </w:r>
      <w:r w:rsidR="00995B1B" w:rsidRPr="00C71C8E">
        <w:rPr>
          <w:rFonts w:cs="Arial"/>
          <w:b/>
          <w:sz w:val="28"/>
          <w:szCs w:val="28"/>
        </w:rPr>
        <w:t xml:space="preserve"> opportunità</w:t>
      </w:r>
      <w:r w:rsidR="00295B7E" w:rsidRPr="00C71C8E">
        <w:rPr>
          <w:rFonts w:cs="Arial"/>
          <w:b/>
          <w:sz w:val="28"/>
          <w:szCs w:val="28"/>
        </w:rPr>
        <w:t xml:space="preserve">, </w:t>
      </w:r>
      <w:r w:rsidRPr="00C71C8E">
        <w:rPr>
          <w:rFonts w:cs="Arial"/>
          <w:b/>
          <w:sz w:val="28"/>
          <w:szCs w:val="28"/>
        </w:rPr>
        <w:t>bilancio di genere</w:t>
      </w:r>
      <w:r w:rsidR="00295B7E" w:rsidRPr="00C71C8E">
        <w:rPr>
          <w:rFonts w:cs="Arial"/>
          <w:b/>
          <w:sz w:val="28"/>
          <w:szCs w:val="28"/>
        </w:rPr>
        <w:t xml:space="preserve"> e benessere organizzativo.</w:t>
      </w:r>
    </w:p>
    <w:p w14:paraId="7051BBF5" w14:textId="77777777" w:rsidR="00B214C8" w:rsidRPr="00C71C8E" w:rsidRDefault="00B214C8" w:rsidP="00F55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"/>
        </w:rPr>
      </w:pPr>
    </w:p>
    <w:p w14:paraId="2AE02C99" w14:textId="77777777" w:rsidR="00BF129E" w:rsidRPr="00C71C8E" w:rsidRDefault="00BF129E" w:rsidP="00BF129E">
      <w:pPr>
        <w:jc w:val="both"/>
        <w:rPr>
          <w:rFonts w:eastAsia="Times New Roman" w:cs="Times New Roman"/>
          <w:sz w:val="24"/>
          <w:szCs w:val="24"/>
          <w:u w:val="single"/>
        </w:rPr>
      </w:pPr>
      <w:r w:rsidRPr="00C71C8E">
        <w:rPr>
          <w:rFonts w:eastAsia="Times New Roman" w:cs="Times New Roman"/>
          <w:sz w:val="24"/>
          <w:szCs w:val="24"/>
          <w:u w:val="single"/>
        </w:rPr>
        <w:t>Le criticità e le opportunità</w:t>
      </w:r>
    </w:p>
    <w:p w14:paraId="3EE0EBCE" w14:textId="4F78B2CC" w:rsidR="00957BBC" w:rsidRPr="005602E5" w:rsidRDefault="00F2322F" w:rsidP="00BF129E">
      <w:pPr>
        <w:spacing w:after="0"/>
        <w:jc w:val="both"/>
        <w:rPr>
          <w:rFonts w:eastAsia="Times New Roman" w:cs="Times New Roman"/>
        </w:rPr>
      </w:pPr>
      <w:r w:rsidRPr="005602E5">
        <w:rPr>
          <w:rFonts w:eastAsia="Times New Roman" w:cs="Times New Roman"/>
        </w:rPr>
        <w:t>L’analisi riportata nella presente</w:t>
      </w:r>
      <w:r w:rsidR="00957BBC" w:rsidRPr="005602E5">
        <w:rPr>
          <w:rFonts w:eastAsia="Times New Roman" w:cs="Times New Roman"/>
        </w:rPr>
        <w:t xml:space="preserve"> sezione della relazione</w:t>
      </w:r>
      <w:r w:rsidRPr="005602E5">
        <w:rPr>
          <w:rFonts w:eastAsia="Times New Roman" w:cs="Times New Roman"/>
        </w:rPr>
        <w:t xml:space="preserve"> generale</w:t>
      </w:r>
      <w:r w:rsidR="00957BBC" w:rsidRPr="005602E5">
        <w:rPr>
          <w:rFonts w:eastAsia="Times New Roman" w:cs="Times New Roman"/>
        </w:rPr>
        <w:t xml:space="preserve">, parte quest’anno </w:t>
      </w:r>
      <w:r w:rsidRPr="005602E5">
        <w:rPr>
          <w:rFonts w:eastAsia="Times New Roman" w:cs="Times New Roman"/>
        </w:rPr>
        <w:t>considerando la</w:t>
      </w:r>
      <w:r w:rsidR="000022C1" w:rsidRPr="005602E5">
        <w:rPr>
          <w:rFonts w:eastAsia="Times New Roman" w:cs="Times New Roman"/>
        </w:rPr>
        <w:t xml:space="preserve"> stretta connessione</w:t>
      </w:r>
      <w:r w:rsidR="00957BBC" w:rsidRPr="005602E5">
        <w:rPr>
          <w:rFonts w:eastAsia="Times New Roman" w:cs="Times New Roman"/>
        </w:rPr>
        <w:t xml:space="preserve"> fra </w:t>
      </w:r>
      <w:r w:rsidR="00B81F3D" w:rsidRPr="005602E5">
        <w:rPr>
          <w:rFonts w:eastAsia="Times New Roman" w:cs="Times New Roman"/>
        </w:rPr>
        <w:t xml:space="preserve">i concetti di </w:t>
      </w:r>
      <w:r w:rsidR="00E405CD" w:rsidRPr="005602E5">
        <w:rPr>
          <w:rFonts w:eastAsia="Times New Roman" w:cs="Times New Roman"/>
        </w:rPr>
        <w:t xml:space="preserve">“pari opportunità”, </w:t>
      </w:r>
      <w:r w:rsidR="00957BBC" w:rsidRPr="005602E5">
        <w:rPr>
          <w:rFonts w:eastAsia="Times New Roman" w:cs="Times New Roman"/>
        </w:rPr>
        <w:t>“diritti umani</w:t>
      </w:r>
      <w:r w:rsidR="00A74A8F" w:rsidRPr="005602E5">
        <w:rPr>
          <w:rFonts w:eastAsia="Times New Roman" w:cs="Times New Roman"/>
        </w:rPr>
        <w:t xml:space="preserve">” e </w:t>
      </w:r>
      <w:r w:rsidR="00A41067" w:rsidRPr="005602E5">
        <w:rPr>
          <w:rFonts w:eastAsia="Times New Roman" w:cs="Times New Roman"/>
        </w:rPr>
        <w:t>dalla necessità di una politica del personale che affermi</w:t>
      </w:r>
      <w:r w:rsidR="00957BBC" w:rsidRPr="005602E5">
        <w:rPr>
          <w:rFonts w:eastAsia="Times New Roman" w:cs="Times New Roman"/>
        </w:rPr>
        <w:t xml:space="preserve"> il valore del rispetto e della </w:t>
      </w:r>
      <w:r w:rsidR="00E405CD" w:rsidRPr="005602E5">
        <w:rPr>
          <w:rFonts w:eastAsia="Times New Roman" w:cs="Times New Roman"/>
        </w:rPr>
        <w:t>valorizzazione delle differenze;</w:t>
      </w:r>
      <w:r w:rsidR="00957BBC" w:rsidRPr="005602E5">
        <w:rPr>
          <w:rFonts w:eastAsia="Times New Roman" w:cs="Times New Roman"/>
        </w:rPr>
        <w:t xml:space="preserve"> a cominciare da quella di genere</w:t>
      </w:r>
      <w:r w:rsidR="00A74A8F" w:rsidRPr="005602E5">
        <w:rPr>
          <w:rFonts w:eastAsia="Times New Roman" w:cs="Times New Roman"/>
        </w:rPr>
        <w:t>,</w:t>
      </w:r>
      <w:r w:rsidR="00957BBC" w:rsidRPr="005602E5">
        <w:rPr>
          <w:rFonts w:eastAsia="Times New Roman" w:cs="Times New Roman"/>
        </w:rPr>
        <w:t xml:space="preserve"> </w:t>
      </w:r>
      <w:r w:rsidR="00EC1916" w:rsidRPr="005602E5">
        <w:rPr>
          <w:rFonts w:eastAsia="Times New Roman" w:cs="Times New Roman"/>
        </w:rPr>
        <w:t xml:space="preserve">quale </w:t>
      </w:r>
      <w:r w:rsidR="00957BBC" w:rsidRPr="005602E5">
        <w:rPr>
          <w:rFonts w:eastAsia="Times New Roman" w:cs="Times New Roman"/>
        </w:rPr>
        <w:t xml:space="preserve">modo più completo, anche se più difficile ed esigente, di convivenza </w:t>
      </w:r>
      <w:r w:rsidR="00B81F3D" w:rsidRPr="005602E5">
        <w:rPr>
          <w:rFonts w:eastAsia="Times New Roman" w:cs="Times New Roman"/>
        </w:rPr>
        <w:t xml:space="preserve">e di condivisione del lavoro </w:t>
      </w:r>
      <w:r w:rsidR="00957BBC" w:rsidRPr="005602E5">
        <w:rPr>
          <w:rFonts w:eastAsia="Times New Roman" w:cs="Times New Roman"/>
        </w:rPr>
        <w:t>tra soggetti diversi.</w:t>
      </w:r>
    </w:p>
    <w:p w14:paraId="52440D9F" w14:textId="50D27D37" w:rsidR="00087FBA" w:rsidRPr="00FF7F29" w:rsidRDefault="00087FBA" w:rsidP="00BF129E">
      <w:pPr>
        <w:spacing w:after="0"/>
        <w:jc w:val="both"/>
        <w:rPr>
          <w:rFonts w:eastAsia="Times New Roman" w:cs="Times New Roman"/>
        </w:rPr>
      </w:pPr>
      <w:r w:rsidRPr="00FF7F29">
        <w:rPr>
          <w:rFonts w:eastAsia="Times New Roman"/>
        </w:rPr>
        <w:t xml:space="preserve">Il parlamento europeo </w:t>
      </w:r>
      <w:r w:rsidR="002970DE" w:rsidRPr="00FF7F29">
        <w:rPr>
          <w:rFonts w:eastAsia="Times New Roman"/>
        </w:rPr>
        <w:t>“</w:t>
      </w:r>
      <w:r w:rsidRPr="00FF7F29">
        <w:rPr>
          <w:rFonts w:eastAsia="Times New Roman"/>
          <w:i/>
        </w:rPr>
        <w:t>ritiene che la partecipazione attiva e la piena inclusione delle donne nel mercato del lavoro europeo abbia non solo effetti positivi sulle imprese, ma anche sull'economia e sulla società nel suo insieme e sia una questione che riguarda i diritti fondamentali e democrazia: le donne costituiscono il 60% dei nuovi laureati ma continuano a essere sottorappresentate negli organi decisionali</w:t>
      </w:r>
      <w:r w:rsidR="002970DE" w:rsidRPr="00FF7F29">
        <w:rPr>
          <w:rFonts w:eastAsia="Times New Roman"/>
        </w:rPr>
        <w:t>”</w:t>
      </w:r>
      <w:r w:rsidRPr="00FF7F29">
        <w:rPr>
          <w:rFonts w:eastAsia="Times New Roman"/>
        </w:rPr>
        <w:t xml:space="preserve"> (P7_</w:t>
      </w:r>
      <w:proofErr w:type="gramStart"/>
      <w:r w:rsidRPr="00FF7F29">
        <w:rPr>
          <w:rFonts w:eastAsia="Times New Roman"/>
        </w:rPr>
        <w:t>TA(</w:t>
      </w:r>
      <w:proofErr w:type="gramEnd"/>
      <w:r w:rsidRPr="00FF7F29">
        <w:rPr>
          <w:rFonts w:eastAsia="Times New Roman"/>
        </w:rPr>
        <w:t>2012)0069)</w:t>
      </w:r>
    </w:p>
    <w:p w14:paraId="7EF9AAEE" w14:textId="029DA10F" w:rsidR="008D6F4E" w:rsidRDefault="002970DE" w:rsidP="00334A4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FF7F29">
        <w:rPr>
          <w:rFonts w:eastAsia="Times New Roman"/>
        </w:rPr>
        <w:t>La realizzazione del</w:t>
      </w:r>
      <w:r w:rsidR="00C71C8E" w:rsidRPr="00FF7F29">
        <w:rPr>
          <w:rFonts w:eastAsia="Times New Roman"/>
        </w:rPr>
        <w:t xml:space="preserve">le pari opportunità è </w:t>
      </w:r>
      <w:r w:rsidR="00FB7681" w:rsidRPr="00FF7F29">
        <w:rPr>
          <w:rFonts w:eastAsia="Times New Roman"/>
        </w:rPr>
        <w:t xml:space="preserve">inoltre </w:t>
      </w:r>
      <w:r w:rsidR="00C71C8E" w:rsidRPr="00FF7F29">
        <w:rPr>
          <w:rFonts w:eastAsia="Times New Roman"/>
        </w:rPr>
        <w:t xml:space="preserve">un </w:t>
      </w:r>
      <w:r w:rsidR="00BD7E6B" w:rsidRPr="00FF7F29">
        <w:rPr>
          <w:rFonts w:eastAsia="Times New Roman"/>
        </w:rPr>
        <w:t>punto centrale</w:t>
      </w:r>
      <w:r w:rsidR="00C71C8E" w:rsidRPr="00FF7F29">
        <w:rPr>
          <w:rFonts w:eastAsia="Times New Roman"/>
        </w:rPr>
        <w:t xml:space="preserve"> </w:t>
      </w:r>
      <w:r w:rsidR="00BD7E6B" w:rsidRPr="00FF7F29">
        <w:rPr>
          <w:rFonts w:eastAsia="Times New Roman"/>
        </w:rPr>
        <w:t>della</w:t>
      </w:r>
      <w:r w:rsidR="00C71C8E" w:rsidRPr="00FF7F29">
        <w:rPr>
          <w:rFonts w:eastAsia="Times New Roman"/>
        </w:rPr>
        <w:t xml:space="preserve"> Costituzione Italiana, </w:t>
      </w:r>
      <w:r w:rsidR="00BD7E6B" w:rsidRPr="00FF7F29">
        <w:rPr>
          <w:rFonts w:eastAsia="Times New Roman"/>
        </w:rPr>
        <w:t>che</w:t>
      </w:r>
      <w:r w:rsidR="00BD7E6B">
        <w:rPr>
          <w:rFonts w:eastAsia="Times New Roman"/>
        </w:rPr>
        <w:t xml:space="preserve"> </w:t>
      </w:r>
      <w:r w:rsidR="00C71C8E" w:rsidRPr="00C71C8E">
        <w:rPr>
          <w:rFonts w:eastAsia="Times New Roman"/>
        </w:rPr>
        <w:t>all'art. 3 scrive: "</w:t>
      </w:r>
      <w:r w:rsidR="00C71C8E" w:rsidRPr="002970DE">
        <w:rPr>
          <w:rStyle w:val="Enfasicorsivo"/>
          <w:bCs/>
        </w:rPr>
        <w:t>Tutti i cittadini hanno pari dignità sociale e sono eguali davanti alla legge, senza distinzione di sesso, di razza, di lingua, di religione, di opinioni politiche, di condizioni personali e sociali.</w:t>
      </w:r>
      <w:r w:rsidR="00C71C8E" w:rsidRPr="002970DE">
        <w:rPr>
          <w:rFonts w:eastAsia="Times New Roman"/>
        </w:rPr>
        <w:t xml:space="preserve"> </w:t>
      </w:r>
      <w:r w:rsidR="00C71C8E" w:rsidRPr="00FB7681">
        <w:rPr>
          <w:rStyle w:val="Enfasicorsivo"/>
          <w:bCs/>
          <w:u w:val="single"/>
        </w:rPr>
        <w:t>È compito della Repubblica rimuovere gli ostacoli</w:t>
      </w:r>
      <w:r w:rsidR="00C71C8E" w:rsidRPr="002970DE">
        <w:rPr>
          <w:rStyle w:val="Enfasicorsivo"/>
          <w:bCs/>
        </w:rPr>
        <w:t xml:space="preserve"> di ordine economico e sociale, che, limitando di fatto la libertà e l'eguaglianza dei cittadini, impediscono il pieno sviluppo della persona umana e l'effettiva partecipazione di tutti i lavoratori all'organizzazione politica, economica e sociale del Paese</w:t>
      </w:r>
      <w:r w:rsidR="00C71C8E" w:rsidRPr="00C71C8E">
        <w:rPr>
          <w:rFonts w:eastAsia="Times New Roman"/>
        </w:rPr>
        <w:t>.</w:t>
      </w:r>
      <w:r>
        <w:rPr>
          <w:rFonts w:eastAsia="Times New Roman"/>
        </w:rPr>
        <w:t>”</w:t>
      </w:r>
    </w:p>
    <w:p w14:paraId="5E894C0F" w14:textId="10B3E75B" w:rsidR="00D93BC4" w:rsidRPr="009A1CBF" w:rsidRDefault="00C71C8E" w:rsidP="009A1CBF">
      <w:pPr>
        <w:spacing w:after="0"/>
        <w:jc w:val="both"/>
        <w:rPr>
          <w:rFonts w:eastAsia="Times New Roman"/>
        </w:rPr>
      </w:pPr>
      <w:r w:rsidRPr="00C54A7D">
        <w:rPr>
          <w:rFonts w:eastAsia="Times New Roman"/>
          <w:u w:val="single"/>
        </w:rPr>
        <w:t xml:space="preserve">La rimozione degli ostacoli richiede di intraprendere </w:t>
      </w:r>
      <w:r w:rsidRPr="00C54A7D">
        <w:rPr>
          <w:rFonts w:eastAsia="Times New Roman"/>
          <w:i/>
          <w:u w:val="single"/>
        </w:rPr>
        <w:t>azioni positive</w:t>
      </w:r>
      <w:r>
        <w:rPr>
          <w:rFonts w:eastAsia="Times New Roman"/>
        </w:rPr>
        <w:t>, per eliminare o prevenire le discriminazioni o per compensare gli svantaggi</w:t>
      </w:r>
      <w:r w:rsidR="00B10D4E">
        <w:rPr>
          <w:rFonts w:eastAsia="Times New Roman"/>
        </w:rPr>
        <w:t xml:space="preserve">. </w:t>
      </w:r>
      <w:r w:rsidR="009A1CBF">
        <w:rPr>
          <w:rFonts w:eastAsia="Times New Roman"/>
        </w:rPr>
        <w:t xml:space="preserve">In tale ambito, i </w:t>
      </w:r>
      <w:r w:rsidR="00B10D4E" w:rsidRPr="00C71C8E">
        <w:rPr>
          <w:rFonts w:eastAsiaTheme="minorEastAsia" w:cs="Times"/>
        </w:rPr>
        <w:t>Piani Triennali di Azioni Positive (PTAP)</w:t>
      </w:r>
      <w:r w:rsidR="00E405CD">
        <w:rPr>
          <w:rFonts w:eastAsiaTheme="minorEastAsia" w:cs="Times"/>
        </w:rPr>
        <w:t xml:space="preserve">, </w:t>
      </w:r>
      <w:r w:rsidR="00B10D4E" w:rsidRPr="00C71C8E">
        <w:rPr>
          <w:rFonts w:eastAsiaTheme="minorEastAsia" w:cs="Times"/>
        </w:rPr>
        <w:t xml:space="preserve">sono </w:t>
      </w:r>
      <w:r w:rsidR="00B10D4E">
        <w:rPr>
          <w:rFonts w:eastAsiaTheme="minorEastAsia" w:cs="Times"/>
        </w:rPr>
        <w:t>misure volte</w:t>
      </w:r>
      <w:r w:rsidR="00B10D4E" w:rsidRPr="00C71C8E">
        <w:rPr>
          <w:rFonts w:eastAsiaTheme="minorEastAsia" w:cs="Times"/>
        </w:rPr>
        <w:t xml:space="preserve"> alla rimozione degli ostacoli che impediscono la piena realizzazione d</w:t>
      </w:r>
      <w:r w:rsidR="00081949">
        <w:rPr>
          <w:rFonts w:eastAsiaTheme="minorEastAsia" w:cs="Times"/>
        </w:rPr>
        <w:t>ella parità e di</w:t>
      </w:r>
      <w:r w:rsidR="00B10D4E" w:rsidRPr="00C71C8E">
        <w:rPr>
          <w:rFonts w:eastAsiaTheme="minorEastAsia" w:cs="Times"/>
        </w:rPr>
        <w:t xml:space="preserve"> pari opportunità di lavoro e nel lavoro tra uomini e donne</w:t>
      </w:r>
      <w:r w:rsidR="00B10D4E">
        <w:rPr>
          <w:rFonts w:eastAsiaTheme="minorEastAsia" w:cs="Times"/>
        </w:rPr>
        <w:t>.</w:t>
      </w:r>
      <w:r w:rsidR="00533FA1">
        <w:rPr>
          <w:rFonts w:eastAsiaTheme="minorEastAsia" w:cs="Times"/>
        </w:rPr>
        <w:t xml:space="preserve"> </w:t>
      </w:r>
      <w:r w:rsidR="00D93BC4">
        <w:rPr>
          <w:rFonts w:eastAsiaTheme="minorEastAsia" w:cs="Times"/>
        </w:rPr>
        <w:t xml:space="preserve"> </w:t>
      </w:r>
    </w:p>
    <w:p w14:paraId="73269013" w14:textId="7381A2B1" w:rsidR="00FE13C4" w:rsidRDefault="00726EA2" w:rsidP="00D31021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EastAsia" w:cs="Times"/>
        </w:rPr>
      </w:pPr>
      <w:r>
        <w:rPr>
          <w:rFonts w:eastAsiaTheme="minorEastAsia" w:cs="Times"/>
        </w:rPr>
        <w:t>T</w:t>
      </w:r>
      <w:r w:rsidR="00FE13C4">
        <w:rPr>
          <w:rFonts w:eastAsiaTheme="minorEastAsia" w:cs="Times"/>
        </w:rPr>
        <w:t xml:space="preserve">ali misure, </w:t>
      </w:r>
      <w:r w:rsidR="000E59D8">
        <w:rPr>
          <w:rFonts w:eastAsiaTheme="minorEastAsia" w:cs="Times"/>
        </w:rPr>
        <w:t>specificat</w:t>
      </w:r>
      <w:r w:rsidR="00FE13C4">
        <w:rPr>
          <w:rFonts w:eastAsiaTheme="minorEastAsia" w:cs="Times"/>
        </w:rPr>
        <w:t xml:space="preserve">e </w:t>
      </w:r>
      <w:r w:rsidR="009A1CBF">
        <w:rPr>
          <w:rFonts w:eastAsiaTheme="minorEastAsia" w:cs="Times"/>
        </w:rPr>
        <w:t xml:space="preserve">per </w:t>
      </w:r>
      <w:r w:rsidR="00FE13C4">
        <w:rPr>
          <w:rFonts w:eastAsiaTheme="minorEastAsia" w:cs="Times"/>
        </w:rPr>
        <w:t>i singoli contesti lavorativi tenendo conto</w:t>
      </w:r>
      <w:r w:rsidR="00D93BC4">
        <w:rPr>
          <w:rFonts w:eastAsiaTheme="minorEastAsia" w:cs="Times"/>
        </w:rPr>
        <w:t xml:space="preserve"> delle </w:t>
      </w:r>
      <w:r w:rsidR="00D93BC4" w:rsidRPr="00533FA1">
        <w:rPr>
          <w:rFonts w:eastAsia="Times New Roman"/>
        </w:rPr>
        <w:t>ineguaglian</w:t>
      </w:r>
      <w:r w:rsidR="00D93BC4">
        <w:rPr>
          <w:rFonts w:eastAsia="Times New Roman"/>
        </w:rPr>
        <w:t xml:space="preserve">ze di genere e generazionali e </w:t>
      </w:r>
      <w:r w:rsidR="00D93BC4" w:rsidRPr="00533FA1">
        <w:rPr>
          <w:rFonts w:eastAsia="Times New Roman"/>
        </w:rPr>
        <w:t>delle diver</w:t>
      </w:r>
      <w:r w:rsidR="00D93BC4">
        <w:rPr>
          <w:rFonts w:eastAsia="Times New Roman"/>
        </w:rPr>
        <w:t xml:space="preserve">se </w:t>
      </w:r>
      <w:r w:rsidR="00D93BC4" w:rsidRPr="00533FA1">
        <w:rPr>
          <w:rFonts w:eastAsia="Times New Roman"/>
        </w:rPr>
        <w:t>tipologie lavorative</w:t>
      </w:r>
      <w:r w:rsidR="00FE13C4">
        <w:rPr>
          <w:rFonts w:eastAsia="Times New Roman"/>
        </w:rPr>
        <w:t>,</w:t>
      </w:r>
      <w:r w:rsidR="00D93BC4">
        <w:rPr>
          <w:rFonts w:eastAsiaTheme="minorEastAsia" w:cs="Times"/>
        </w:rPr>
        <w:t xml:space="preserve"> </w:t>
      </w:r>
      <w:r>
        <w:rPr>
          <w:rFonts w:eastAsiaTheme="minorEastAsia" w:cs="Times"/>
        </w:rPr>
        <w:t xml:space="preserve">sono parte integrante del </w:t>
      </w:r>
      <w:r w:rsidR="00D93BC4" w:rsidRPr="00FF7F29">
        <w:rPr>
          <w:rFonts w:eastAsiaTheme="minorEastAsia" w:cs="Times"/>
        </w:rPr>
        <w:t xml:space="preserve">processo di accompagnamento delle amministrazioni pubbliche verso </w:t>
      </w:r>
      <w:proofErr w:type="gramStart"/>
      <w:r w:rsidR="00D93BC4" w:rsidRPr="00FF7F29">
        <w:rPr>
          <w:rFonts w:eastAsiaTheme="minorEastAsia" w:cs="Times"/>
        </w:rPr>
        <w:t>una percorso</w:t>
      </w:r>
      <w:proofErr w:type="gramEnd"/>
      <w:r w:rsidR="00D93BC4" w:rsidRPr="00FF7F29">
        <w:rPr>
          <w:rFonts w:eastAsiaTheme="minorEastAsia" w:cs="Times"/>
        </w:rPr>
        <w:t xml:space="preserve"> di maturità e di crescita. </w:t>
      </w:r>
      <w:r w:rsidR="00DA1277">
        <w:rPr>
          <w:rFonts w:eastAsiaTheme="minorEastAsia" w:cs="Times"/>
        </w:rPr>
        <w:t>L</w:t>
      </w:r>
      <w:r w:rsidR="00FE13C4" w:rsidRPr="00FF7F29">
        <w:rPr>
          <w:rFonts w:eastAsiaTheme="minorEastAsia" w:cs="Times"/>
        </w:rPr>
        <w:t xml:space="preserve">’integrazione della prospettiva di genere, sia nella gestione/sviluppo delle risorse umane, che della ricerca, rappresenta uno strumento </w:t>
      </w:r>
      <w:r w:rsidR="00DA1277">
        <w:rPr>
          <w:rFonts w:eastAsiaTheme="minorEastAsia" w:cs="Times"/>
        </w:rPr>
        <w:t xml:space="preserve">fondamentale </w:t>
      </w:r>
      <w:r w:rsidR="00FE13C4" w:rsidRPr="00FF7F29">
        <w:rPr>
          <w:rFonts w:eastAsiaTheme="minorEastAsia" w:cs="Times"/>
        </w:rPr>
        <w:t xml:space="preserve">per </w:t>
      </w:r>
      <w:r w:rsidR="00FE13C4" w:rsidRPr="00FF7F29">
        <w:rPr>
          <w:rFonts w:eastAsiaTheme="minorEastAsia"/>
        </w:rPr>
        <w:t xml:space="preserve">la realizzazione di un ambiente di lavoro sostenibile e centrato sulle persone </w:t>
      </w:r>
      <w:r w:rsidR="009A1CBF" w:rsidRPr="00FF7F29">
        <w:rPr>
          <w:rFonts w:eastAsiaTheme="minorEastAsia"/>
        </w:rPr>
        <w:t xml:space="preserve">a partire </w:t>
      </w:r>
      <w:r w:rsidR="00FE13C4" w:rsidRPr="00FF7F29">
        <w:rPr>
          <w:rFonts w:eastAsiaTheme="minorEastAsia"/>
        </w:rPr>
        <w:t>dall’</w:t>
      </w:r>
      <w:r w:rsidR="00FE13C4" w:rsidRPr="00FF7F29">
        <w:rPr>
          <w:rFonts w:eastAsiaTheme="minorEastAsia" w:cs="Times"/>
        </w:rPr>
        <w:t>implementazione di processi gestionali più aperti e trasparenti</w:t>
      </w:r>
      <w:r w:rsidR="00447CDF" w:rsidRPr="00FF7F29">
        <w:rPr>
          <w:rFonts w:eastAsiaTheme="minorEastAsia" w:cs="Times"/>
        </w:rPr>
        <w:t>.</w:t>
      </w:r>
      <w:r w:rsidR="00DA1277" w:rsidRPr="00DA1277">
        <w:rPr>
          <w:rFonts w:eastAsiaTheme="minorEastAsia" w:cs="Times"/>
        </w:rPr>
        <w:t xml:space="preserve"> </w:t>
      </w:r>
    </w:p>
    <w:p w14:paraId="5AC58ED6" w14:textId="72A2DBC9" w:rsidR="005C3DE1" w:rsidRPr="00D31021" w:rsidRDefault="00BC50B9" w:rsidP="00D31021">
      <w:pPr>
        <w:spacing w:after="120"/>
        <w:jc w:val="both"/>
        <w:rPr>
          <w:rFonts w:eastAsia="Times New Roman" w:cs="Times New Roman"/>
        </w:rPr>
      </w:pPr>
      <w:r w:rsidRPr="004049E8">
        <w:rPr>
          <w:rFonts w:eastAsiaTheme="minorEastAsia" w:cs="Times"/>
        </w:rPr>
        <w:t xml:space="preserve">In tale contesto, </w:t>
      </w:r>
      <w:r w:rsidR="001B44EB">
        <w:rPr>
          <w:rFonts w:eastAsia="Times New Roman" w:cs="Times New Roman"/>
        </w:rPr>
        <w:t xml:space="preserve">nel 2015 è </w:t>
      </w:r>
      <w:r w:rsidR="00D31021">
        <w:rPr>
          <w:rFonts w:eastAsia="Times New Roman" w:cs="Times New Roman"/>
        </w:rPr>
        <w:t>stata presentata alla dirigenza</w:t>
      </w:r>
      <w:r w:rsidR="001B44EB">
        <w:rPr>
          <w:rFonts w:eastAsia="Times New Roman" w:cs="Times New Roman"/>
        </w:rPr>
        <w:t xml:space="preserve"> la relazione del CUG di fine primo mandato </w:t>
      </w:r>
      <w:r w:rsidR="001B44EB" w:rsidRPr="007A62FC">
        <w:rPr>
          <w:rFonts w:eastAsiaTheme="minorEastAsia" w:cs="Times"/>
        </w:rPr>
        <w:t>sullo stato di parità nell’</w:t>
      </w:r>
      <w:r w:rsidR="00D31021">
        <w:rPr>
          <w:rFonts w:eastAsiaTheme="minorEastAsia" w:cs="Times"/>
        </w:rPr>
        <w:t>E</w:t>
      </w:r>
      <w:r w:rsidR="001B44EB" w:rsidRPr="007A62FC">
        <w:rPr>
          <w:rFonts w:eastAsiaTheme="minorEastAsia" w:cs="Times"/>
        </w:rPr>
        <w:t>nte per gli anni 2011-2015</w:t>
      </w:r>
      <w:r w:rsidR="00D31021">
        <w:rPr>
          <w:rFonts w:eastAsia="Times New Roman" w:cs="Times New Roman"/>
        </w:rPr>
        <w:t xml:space="preserve"> </w:t>
      </w:r>
      <w:r w:rsidR="005C3DE1">
        <w:rPr>
          <w:rFonts w:eastAsiaTheme="minorEastAsia" w:cs="Times"/>
        </w:rPr>
        <w:t xml:space="preserve">richiedendo: </w:t>
      </w:r>
    </w:p>
    <w:p w14:paraId="72B69519" w14:textId="3579E148" w:rsidR="005C3DE1" w:rsidRPr="005C3DE1" w:rsidRDefault="005C3DE1" w:rsidP="005C3DE1">
      <w:pPr>
        <w:pStyle w:val="Paragrafoelenco"/>
        <w:numPr>
          <w:ilvl w:val="0"/>
          <w:numId w:val="18"/>
        </w:numPr>
        <w:jc w:val="both"/>
        <w:rPr>
          <w:rFonts w:eastAsia="Times New Roman" w:cs="Times New Roman"/>
        </w:rPr>
      </w:pPr>
      <w:r w:rsidRPr="005C3DE1">
        <w:rPr>
          <w:rFonts w:eastAsia="Times New Roman" w:cs="Times New Roman"/>
        </w:rPr>
        <w:t>un riconoscimento dell’esistenza di fenomeni di “discriminazione” nell’Ente (consci o meno)</w:t>
      </w:r>
      <w:r w:rsidR="00D31021" w:rsidRPr="00D31021">
        <w:rPr>
          <w:rFonts w:eastAsiaTheme="minorEastAsia" w:cs="Times"/>
        </w:rPr>
        <w:t xml:space="preserve"> </w:t>
      </w:r>
      <w:r w:rsidR="00D31021" w:rsidRPr="004049E8">
        <w:rPr>
          <w:rFonts w:eastAsiaTheme="minorEastAsia" w:cs="Times"/>
        </w:rPr>
        <w:t>basat</w:t>
      </w:r>
      <w:r w:rsidR="00D31021">
        <w:rPr>
          <w:rFonts w:eastAsiaTheme="minorEastAsia" w:cs="Times"/>
        </w:rPr>
        <w:t>i</w:t>
      </w:r>
      <w:r w:rsidR="00D31021" w:rsidRPr="004049E8">
        <w:rPr>
          <w:rFonts w:eastAsiaTheme="minorEastAsia" w:cs="Times"/>
        </w:rPr>
        <w:t xml:space="preserve"> sull’appartenenza al sesso o all’età, che sono rilevabili anche</w:t>
      </w:r>
      <w:r w:rsidR="00D31021">
        <w:rPr>
          <w:rFonts w:eastAsiaTheme="minorEastAsia" w:cs="Times"/>
        </w:rPr>
        <w:t xml:space="preserve"> dai dati degli ultimi concorsi</w:t>
      </w:r>
      <w:r w:rsidRPr="005C3DE1">
        <w:rPr>
          <w:rFonts w:eastAsia="Times New Roman" w:cs="Times New Roman"/>
        </w:rPr>
        <w:t xml:space="preserve">; </w:t>
      </w:r>
    </w:p>
    <w:p w14:paraId="2A2CECAD" w14:textId="3AEE71C6" w:rsidR="005C3DE1" w:rsidRPr="005C3DE1" w:rsidRDefault="005C3DE1" w:rsidP="005C3DE1">
      <w:pPr>
        <w:pStyle w:val="Paragrafoelenco"/>
        <w:numPr>
          <w:ilvl w:val="0"/>
          <w:numId w:val="18"/>
        </w:numPr>
        <w:jc w:val="both"/>
        <w:rPr>
          <w:rFonts w:eastAsia="Times New Roman" w:cs="Times New Roman"/>
        </w:rPr>
      </w:pPr>
      <w:r w:rsidRPr="005C3DE1">
        <w:rPr>
          <w:rFonts w:eastAsia="Times New Roman" w:cs="Times New Roman"/>
        </w:rPr>
        <w:t>l’approvazione di una dichiarazione di intenti che si affiancasse al PTAP nel riconoscere che la promozione</w:t>
      </w:r>
      <w:r w:rsidRPr="005C3DE1">
        <w:rPr>
          <w:rFonts w:eastAsiaTheme="minorEastAsia" w:cs="Times"/>
          <w:i/>
        </w:rPr>
        <w:t xml:space="preserve"> </w:t>
      </w:r>
      <w:r w:rsidRPr="005C3DE1">
        <w:rPr>
          <w:rFonts w:eastAsiaTheme="minorEastAsia" w:cs="Times"/>
        </w:rPr>
        <w:t>dell'uguaglianza di genere a tutti i livelli contribuisce al miglioramento dell'efficacia, dell'efficienza e della qualità di vita e di lavoro, di cui trarranno vantaggio sia donne che uomini in egual misura, con un effetto finale positivo sulla qualità della ricerca.</w:t>
      </w:r>
    </w:p>
    <w:p w14:paraId="3272EFF2" w14:textId="3D6DB76A" w:rsidR="007A62FC" w:rsidRDefault="005C3DE1" w:rsidP="005C3DE1">
      <w:pPr>
        <w:spacing w:after="120"/>
        <w:jc w:val="both"/>
        <w:rPr>
          <w:rFonts w:eastAsiaTheme="minorEastAsia" w:cs="Times"/>
        </w:rPr>
      </w:pPr>
      <w:r w:rsidRPr="00D34624">
        <w:rPr>
          <w:rFonts w:eastAsiaTheme="minorEastAsia" w:cs="Times"/>
        </w:rPr>
        <w:t xml:space="preserve">Le discriminazioni sono state riconosciute, ma imputate a fattori esterni non ben definiti. La dirigenza si è però assunta l’impegno di rimuovere ciò che è di competenza INFN. </w:t>
      </w:r>
      <w:r>
        <w:rPr>
          <w:rFonts w:eastAsiaTheme="minorEastAsia" w:cs="Times"/>
        </w:rPr>
        <w:t xml:space="preserve">Non è stata però al momento approvata alcuna dichiarazione di intenti. La relazione è </w:t>
      </w:r>
      <w:r w:rsidR="007A62FC">
        <w:rPr>
          <w:rFonts w:eastAsiaTheme="minorEastAsia" w:cs="Times"/>
        </w:rPr>
        <w:t>stata resa</w:t>
      </w:r>
      <w:r w:rsidR="007A62FC" w:rsidRPr="007A62FC">
        <w:rPr>
          <w:rFonts w:eastAsiaTheme="minorEastAsia" w:cs="Times"/>
        </w:rPr>
        <w:t xml:space="preserve"> pubblica </w:t>
      </w:r>
      <w:r w:rsidR="007A62FC">
        <w:rPr>
          <w:rFonts w:eastAsiaTheme="minorEastAsia" w:cs="Times"/>
        </w:rPr>
        <w:t>insieme</w:t>
      </w:r>
      <w:r w:rsidR="007A62FC" w:rsidRPr="007A62FC">
        <w:rPr>
          <w:rFonts w:eastAsiaTheme="minorEastAsia" w:cs="Times"/>
        </w:rPr>
        <w:t xml:space="preserve"> alla risposta del Presidente. I due documenti sono sul sito web del CUG:</w:t>
      </w:r>
    </w:p>
    <w:p w14:paraId="2F9186BE" w14:textId="77777777" w:rsidR="001D4C11" w:rsidRPr="001D4C11" w:rsidRDefault="001D4C11" w:rsidP="001D4C11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 w:cs="Times"/>
        </w:rPr>
      </w:pPr>
      <w:r>
        <w:rPr>
          <w:rFonts w:eastAsiaTheme="minorEastAsia" w:cs="Times"/>
        </w:rPr>
        <w:fldChar w:fldCharType="begin"/>
      </w:r>
      <w:r>
        <w:rPr>
          <w:rFonts w:eastAsiaTheme="minorEastAsia" w:cs="Times"/>
        </w:rPr>
        <w:instrText xml:space="preserve"> HYPERLINK "</w:instrText>
      </w:r>
      <w:r w:rsidRPr="001D4C11">
        <w:rPr>
          <w:rFonts w:eastAsiaTheme="minorEastAsia" w:cs="Times"/>
        </w:rPr>
        <w:instrText>https://web.infn.it/CUG/index.php/it/primo-piano/29-news-infn/77-relazione-annuale-del-cug-</w:instrText>
      </w:r>
    </w:p>
    <w:p w14:paraId="7CEAE669" w14:textId="77777777" w:rsidR="001D4C11" w:rsidRPr="004A65B5" w:rsidRDefault="001D4C11" w:rsidP="001D4C11">
      <w:pPr>
        <w:widowControl w:val="0"/>
        <w:autoSpaceDE w:val="0"/>
        <w:autoSpaceDN w:val="0"/>
        <w:adjustRightInd w:val="0"/>
        <w:spacing w:after="0"/>
        <w:jc w:val="both"/>
        <w:rPr>
          <w:rStyle w:val="Collegamentoipertestuale"/>
          <w:rFonts w:eastAsiaTheme="minorEastAsia" w:cs="Times"/>
        </w:rPr>
      </w:pPr>
      <w:r w:rsidRPr="001D4C11">
        <w:rPr>
          <w:rFonts w:eastAsiaTheme="minorEastAsia" w:cs="Times"/>
        </w:rPr>
        <w:instrText>2015</w:instrText>
      </w:r>
      <w:r>
        <w:rPr>
          <w:rFonts w:eastAsiaTheme="minorEastAsia" w:cs="Times"/>
        </w:rPr>
        <w:instrText xml:space="preserve">" </w:instrText>
      </w:r>
      <w:r>
        <w:rPr>
          <w:rFonts w:eastAsiaTheme="minorEastAsia" w:cs="Times"/>
        </w:rPr>
        <w:fldChar w:fldCharType="separate"/>
      </w:r>
      <w:r w:rsidRPr="004A65B5">
        <w:rPr>
          <w:rStyle w:val="Collegamentoipertestuale"/>
          <w:rFonts w:eastAsiaTheme="minorEastAsia" w:cs="Times"/>
        </w:rPr>
        <w:t>https://web.infn.it/CUG/index.php/it/primo-piano/29-news-infn/77-relazione-annuale-del-cug-</w:t>
      </w:r>
    </w:p>
    <w:p w14:paraId="4D268943" w14:textId="5A963D9C" w:rsidR="005C3DE1" w:rsidRDefault="001D4C11" w:rsidP="001D4C11">
      <w:pPr>
        <w:spacing w:after="120"/>
        <w:jc w:val="both"/>
        <w:rPr>
          <w:rFonts w:eastAsiaTheme="minorEastAsia" w:cs="Times"/>
        </w:rPr>
      </w:pPr>
      <w:r w:rsidRPr="004A65B5">
        <w:rPr>
          <w:rStyle w:val="Collegamentoipertestuale"/>
          <w:rFonts w:eastAsiaTheme="minorEastAsia" w:cs="Times"/>
        </w:rPr>
        <w:t>2015</w:t>
      </w:r>
      <w:r>
        <w:rPr>
          <w:rFonts w:eastAsiaTheme="minorEastAsia" w:cs="Times"/>
        </w:rPr>
        <w:fldChar w:fldCharType="end"/>
      </w:r>
    </w:p>
    <w:p w14:paraId="25330371" w14:textId="5A6CAC53" w:rsidR="00687A5F" w:rsidRPr="005C3DE1" w:rsidRDefault="007A62FC" w:rsidP="00AF5AF5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 w:cs="Times"/>
        </w:rPr>
      </w:pPr>
      <w:r>
        <w:rPr>
          <w:rFonts w:cs="Times"/>
        </w:rPr>
        <w:lastRenderedPageBreak/>
        <w:t>Nel</w:t>
      </w:r>
      <w:r w:rsidR="00184E8E">
        <w:rPr>
          <w:rFonts w:cs="Times"/>
        </w:rPr>
        <w:t xml:space="preserve"> seguito </w:t>
      </w:r>
      <w:r>
        <w:rPr>
          <w:rFonts w:cs="Times"/>
        </w:rPr>
        <w:t xml:space="preserve">si riportano i dati aggiornati a </w:t>
      </w:r>
      <w:r w:rsidRPr="00184E8E">
        <w:rPr>
          <w:rFonts w:cs="Times"/>
        </w:rPr>
        <w:t>dicembre 2014</w:t>
      </w:r>
      <w:r w:rsidR="00184E8E" w:rsidRPr="00184E8E">
        <w:rPr>
          <w:rFonts w:cs="Times"/>
        </w:rPr>
        <w:t xml:space="preserve"> estra</w:t>
      </w:r>
      <w:r>
        <w:rPr>
          <w:rFonts w:cs="Times"/>
        </w:rPr>
        <w:t xml:space="preserve">tti dai conti annuali dell’Ente. </w:t>
      </w:r>
      <w:r w:rsidR="008F60AE" w:rsidRPr="004049E8">
        <w:rPr>
          <w:rFonts w:cs="Times"/>
        </w:rPr>
        <w:t xml:space="preserve">Nella tabella si può osservare come l’accesso ai livelli più alti della carriera sia molto più probabile per il sesso maschile rispetto a quello femminile. </w:t>
      </w:r>
      <w:r w:rsidR="00687A5F">
        <w:rPr>
          <w:rFonts w:cs="Times"/>
        </w:rPr>
        <w:t>Dai dati nel livello I, si nota che p</w:t>
      </w:r>
      <w:r w:rsidR="008F60AE" w:rsidRPr="004049E8">
        <w:rPr>
          <w:rFonts w:cs="Times"/>
        </w:rPr>
        <w:t xml:space="preserve">er i ricercatori la probabilità per </w:t>
      </w:r>
      <w:r w:rsidR="00687A5F">
        <w:rPr>
          <w:rFonts w:cs="Times"/>
        </w:rPr>
        <w:t xml:space="preserve">gli </w:t>
      </w:r>
      <w:r w:rsidR="008F60AE" w:rsidRPr="004049E8">
        <w:rPr>
          <w:rFonts w:cs="Times"/>
        </w:rPr>
        <w:t xml:space="preserve">uomini di diventare dirigente è doppia rispetto alle donne, </w:t>
      </w:r>
      <w:r w:rsidR="00687A5F">
        <w:rPr>
          <w:rFonts w:cs="Times"/>
        </w:rPr>
        <w:t xml:space="preserve">mentre </w:t>
      </w:r>
      <w:r w:rsidR="008F60AE" w:rsidRPr="004049E8">
        <w:rPr>
          <w:rFonts w:cs="Times"/>
        </w:rPr>
        <w:t xml:space="preserve">per i tecnologi è tripla. </w:t>
      </w:r>
      <w:r w:rsidR="00687A5F">
        <w:rPr>
          <w:rFonts w:cs="Times"/>
        </w:rPr>
        <w:t xml:space="preserve">Questo dato va confrontato con le percentuali nei livelli II e III che risultano simili per uomini e donne. </w:t>
      </w:r>
    </w:p>
    <w:p w14:paraId="17F56E64" w14:textId="71E7DA31" w:rsidR="00184E8E" w:rsidRPr="00406A39" w:rsidRDefault="008F60AE" w:rsidP="00FF7F29">
      <w:pPr>
        <w:widowControl w:val="0"/>
        <w:autoSpaceDE w:val="0"/>
        <w:autoSpaceDN w:val="0"/>
        <w:adjustRightInd w:val="0"/>
        <w:spacing w:after="0"/>
        <w:jc w:val="both"/>
        <w:rPr>
          <w:rFonts w:cs="Times"/>
        </w:rPr>
      </w:pPr>
      <w:r w:rsidRPr="00516B93">
        <w:rPr>
          <w:rFonts w:eastAsiaTheme="minorEastAsia" w:cs="Times"/>
        </w:rPr>
        <w:t xml:space="preserve">Nel 2015, </w:t>
      </w:r>
      <w:r>
        <w:rPr>
          <w:rFonts w:eastAsiaTheme="minorEastAsia" w:cs="Times"/>
        </w:rPr>
        <w:t xml:space="preserve">la situazione non è migliorata in quanto </w:t>
      </w:r>
      <w:r w:rsidR="00AF5AF5">
        <w:rPr>
          <w:rFonts w:eastAsiaTheme="minorEastAsia" w:cs="Times"/>
        </w:rPr>
        <w:t xml:space="preserve">nei </w:t>
      </w:r>
      <w:r w:rsidR="00AF5AF5" w:rsidRPr="004049E8">
        <w:rPr>
          <w:rFonts w:cs="Times"/>
        </w:rPr>
        <w:t>concorsi per l’accesso ai livelli II e I</w:t>
      </w:r>
      <w:r w:rsidR="00AF5AF5" w:rsidRPr="00516B93">
        <w:rPr>
          <w:rFonts w:eastAsiaTheme="minorEastAsia" w:cs="Times"/>
        </w:rPr>
        <w:t xml:space="preserve"> sono diventati dirigenti di ricerca </w:t>
      </w:r>
      <w:r w:rsidRPr="00516B93">
        <w:rPr>
          <w:rFonts w:eastAsiaTheme="minorEastAsia" w:cs="Times"/>
        </w:rPr>
        <w:t xml:space="preserve">7 uomini, </w:t>
      </w:r>
      <w:r>
        <w:rPr>
          <w:rFonts w:eastAsiaTheme="minorEastAsia" w:cs="Times"/>
        </w:rPr>
        <w:t>a fronte di 1 sola donna</w:t>
      </w:r>
      <w:r w:rsidR="00AF5AF5">
        <w:rPr>
          <w:rFonts w:eastAsiaTheme="minorEastAsia" w:cs="Times"/>
        </w:rPr>
        <w:t xml:space="preserve">, </w:t>
      </w:r>
      <w:proofErr w:type="gramStart"/>
      <w:r w:rsidR="00AF5AF5">
        <w:rPr>
          <w:rFonts w:eastAsiaTheme="minorEastAsia" w:cs="Times"/>
        </w:rPr>
        <w:t xml:space="preserve">mentre </w:t>
      </w:r>
      <w:r>
        <w:rPr>
          <w:rFonts w:eastAsiaTheme="minorEastAsia" w:cs="Times"/>
        </w:rPr>
        <w:t xml:space="preserve"> </w:t>
      </w:r>
      <w:r w:rsidR="00406A39">
        <w:rPr>
          <w:rFonts w:eastAsiaTheme="minorEastAsia" w:cs="Times"/>
        </w:rPr>
        <w:t>per</w:t>
      </w:r>
      <w:proofErr w:type="gramEnd"/>
      <w:r w:rsidR="00406A39">
        <w:rPr>
          <w:rFonts w:eastAsiaTheme="minorEastAsia" w:cs="Times"/>
        </w:rPr>
        <w:t xml:space="preserve"> i tecnologi </w:t>
      </w:r>
      <w:r w:rsidR="00AF5AF5" w:rsidRPr="004049E8">
        <w:rPr>
          <w:rFonts w:cs="Times"/>
        </w:rPr>
        <w:t>sono diventati dirigenti 6 uomini e nessuna donna.</w:t>
      </w:r>
      <w:r w:rsidRPr="004049E8">
        <w:rPr>
          <w:rFonts w:cs="Times"/>
        </w:rPr>
        <w:t xml:space="preserve"> </w:t>
      </w:r>
    </w:p>
    <w:p w14:paraId="3D98A86D" w14:textId="77777777" w:rsidR="00184E8E" w:rsidRPr="00FF7F29" w:rsidRDefault="00184E8E" w:rsidP="00FF7F29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 w:cs="Times"/>
        </w:rPr>
      </w:pPr>
    </w:p>
    <w:tbl>
      <w:tblPr>
        <w:tblW w:w="9761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850"/>
        <w:gridCol w:w="851"/>
        <w:gridCol w:w="850"/>
        <w:gridCol w:w="851"/>
        <w:gridCol w:w="992"/>
        <w:gridCol w:w="850"/>
        <w:gridCol w:w="993"/>
        <w:gridCol w:w="1134"/>
        <w:gridCol w:w="1417"/>
      </w:tblGrid>
      <w:tr w:rsidR="004049E8" w:rsidRPr="00C74C62" w14:paraId="5E1E968E" w14:textId="77777777" w:rsidTr="00184E8E">
        <w:trPr>
          <w:trHeight w:val="595"/>
        </w:trPr>
        <w:tc>
          <w:tcPr>
            <w:tcW w:w="9761" w:type="dxa"/>
            <w:gridSpan w:val="10"/>
            <w:shd w:val="clear" w:color="auto" w:fill="FFFFFF"/>
            <w:vAlign w:val="center"/>
          </w:tcPr>
          <w:p w14:paraId="685348D9" w14:textId="0D768C6A" w:rsidR="004049E8" w:rsidRPr="00C74C62" w:rsidRDefault="004049E8" w:rsidP="00184E8E">
            <w:pPr>
              <w:jc w:val="both"/>
            </w:pPr>
            <w:r w:rsidRPr="00C74C62">
              <w:rPr>
                <w:b/>
                <w:bCs/>
                <w:sz w:val="20"/>
                <w:szCs w:val="20"/>
              </w:rPr>
              <w:t xml:space="preserve">Tabella 1: </w:t>
            </w:r>
            <w:r w:rsidRPr="00C74C62">
              <w:rPr>
                <w:sz w:val="20"/>
                <w:szCs w:val="20"/>
              </w:rPr>
              <w:t xml:space="preserve">Distribuzione del personale a tempo indeterminato per profili e livelli. </w:t>
            </w:r>
            <w:r w:rsidR="00184E8E" w:rsidRPr="00184E8E">
              <w:rPr>
                <w:sz w:val="20"/>
                <w:szCs w:val="20"/>
              </w:rPr>
              <w:t>Nella tabella non è riportata una dirigente di II fascia, donna. Per ogni profilo, tra parentes</w:t>
            </w:r>
            <w:r w:rsidR="00184E8E">
              <w:rPr>
                <w:sz w:val="20"/>
                <w:szCs w:val="20"/>
              </w:rPr>
              <w:t xml:space="preserve">i è riportata la frazione, per </w:t>
            </w:r>
            <w:r w:rsidR="00184E8E" w:rsidRPr="00184E8E">
              <w:rPr>
                <w:sz w:val="20"/>
                <w:szCs w:val="20"/>
              </w:rPr>
              <w:t>genere, di personale nel livello</w:t>
            </w:r>
            <w:r w:rsidR="00184E8E">
              <w:rPr>
                <w:sz w:val="20"/>
                <w:szCs w:val="20"/>
              </w:rPr>
              <w:t xml:space="preserve">; </w:t>
            </w:r>
            <w:r w:rsidR="00184E8E" w:rsidRPr="00184E8E">
              <w:rPr>
                <w:sz w:val="20"/>
                <w:szCs w:val="20"/>
              </w:rPr>
              <w:t xml:space="preserve">nella penultima riga è riportata la frazione per genere sul totale per profilo.  Nell'ultima riga la percentuale tra parentesi corrisponde alla percentuale sul totale dei dipendenti a tempo indeterminato. </w:t>
            </w:r>
          </w:p>
        </w:tc>
      </w:tr>
      <w:tr w:rsidR="004049E8" w14:paraId="0B658B73" w14:textId="77777777" w:rsidTr="00184E8E">
        <w:trPr>
          <w:trHeight w:val="416"/>
        </w:trPr>
        <w:tc>
          <w:tcPr>
            <w:tcW w:w="97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82AABD" w14:textId="24823CFC" w:rsidR="004049E8" w:rsidRDefault="004049E8" w:rsidP="00885A55">
            <w:pPr>
              <w:pStyle w:val="TableStyle2A"/>
              <w:ind w:right="-194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Profilo </w:t>
            </w:r>
            <w:r w:rsidR="00184E8E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/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/  </w:t>
            </w:r>
          </w:p>
          <w:p w14:paraId="6DDCF6BD" w14:textId="77777777" w:rsidR="004049E8" w:rsidRDefault="004049E8" w:rsidP="00885A55">
            <w:pPr>
              <w:pStyle w:val="TableStyle2A"/>
              <w:ind w:right="-194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Livello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F2A7F2" w14:textId="77777777" w:rsidR="004049E8" w:rsidRDefault="004049E8" w:rsidP="00885A55">
            <w:pPr>
              <w:pStyle w:val="TableStyle2A"/>
              <w:ind w:right="-194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ricercatori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21CF5A" w14:textId="77777777" w:rsidR="004049E8" w:rsidRDefault="004049E8" w:rsidP="00885A55">
            <w:pPr>
              <w:pStyle w:val="TableStyle2A"/>
              <w:ind w:right="-194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tecnologi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1C5A68" w14:textId="77777777" w:rsidR="004049E8" w:rsidRDefault="004049E8" w:rsidP="00885A55">
            <w:pPr>
              <w:pStyle w:val="TableStyle2A"/>
              <w:ind w:right="-194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Profilo // </w:t>
            </w:r>
          </w:p>
          <w:p w14:paraId="1EC50FCA" w14:textId="77777777" w:rsidR="004049E8" w:rsidRDefault="004049E8" w:rsidP="00885A55">
            <w:pPr>
              <w:pStyle w:val="TableStyle2A"/>
              <w:ind w:right="-194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Livello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FB8138" w14:textId="77777777" w:rsidR="004049E8" w:rsidRDefault="004049E8" w:rsidP="00885A55">
            <w:pPr>
              <w:pStyle w:val="TableStyle2A"/>
              <w:ind w:right="-194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amministrativi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98E3BD" w14:textId="77777777" w:rsidR="004049E8" w:rsidRDefault="004049E8" w:rsidP="00885A55">
            <w:pPr>
              <w:pStyle w:val="TableStyle2A"/>
              <w:ind w:right="-194"/>
              <w:jc w:val="center"/>
              <w:rPr>
                <w:lang w:eastAsia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tecnici</w:t>
            </w:r>
          </w:p>
        </w:tc>
      </w:tr>
      <w:tr w:rsidR="004049E8" w14:paraId="168F0E37" w14:textId="77777777" w:rsidTr="00184E8E">
        <w:trPr>
          <w:trHeight w:val="293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1A380AF" w14:textId="77777777" w:rsidR="004049E8" w:rsidRDefault="004049E8" w:rsidP="00885A55">
            <w:pPr>
              <w:suppressAutoHyphens/>
              <w:ind w:right="-194"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88CA57A" w14:textId="77777777" w:rsidR="004049E8" w:rsidRDefault="004049E8" w:rsidP="00885A55">
            <w:pPr>
              <w:pStyle w:val="TableStyle2A"/>
              <w:ind w:right="-194"/>
              <w:jc w:val="center"/>
              <w:rPr>
                <w:rFonts w:ascii="MS Serif" w:eastAsia="MS Serif" w:hAnsi="MS Serif" w:cs="MS Serif"/>
                <w:sz w:val="16"/>
                <w:szCs w:val="16"/>
                <w:lang w:eastAsia="en-US"/>
              </w:rPr>
            </w:pPr>
            <w:r>
              <w:rPr>
                <w:rFonts w:ascii="MS Serif" w:eastAsia="MS Serif" w:hAnsi="MS Serif" w:cs="MS Serif"/>
                <w:sz w:val="16"/>
                <w:szCs w:val="16"/>
              </w:rPr>
              <w:t>Uomini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6B4DC04" w14:textId="77777777" w:rsidR="004049E8" w:rsidRDefault="004049E8" w:rsidP="00885A55">
            <w:pPr>
              <w:pStyle w:val="TableStyle2A"/>
              <w:ind w:right="-194"/>
              <w:jc w:val="center"/>
              <w:rPr>
                <w:rFonts w:ascii="MS Serif" w:eastAsia="MS Serif" w:hAnsi="MS Serif" w:cs="MS Serif"/>
                <w:sz w:val="16"/>
                <w:szCs w:val="16"/>
                <w:lang w:eastAsia="en-US"/>
              </w:rPr>
            </w:pPr>
            <w:r>
              <w:rPr>
                <w:rFonts w:ascii="MS Serif" w:eastAsia="MS Serif" w:hAnsi="MS Serif" w:cs="MS Serif"/>
                <w:sz w:val="16"/>
                <w:szCs w:val="16"/>
              </w:rPr>
              <w:t>Donne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3693CC0" w14:textId="77777777" w:rsidR="004049E8" w:rsidRDefault="004049E8" w:rsidP="00885A55">
            <w:pPr>
              <w:pStyle w:val="TableStyle2A"/>
              <w:ind w:right="-194"/>
              <w:jc w:val="center"/>
              <w:rPr>
                <w:rFonts w:ascii="MS Serif" w:eastAsia="MS Serif" w:hAnsi="MS Serif" w:cs="MS Serif"/>
                <w:sz w:val="16"/>
                <w:szCs w:val="16"/>
                <w:lang w:eastAsia="en-US"/>
              </w:rPr>
            </w:pPr>
            <w:r>
              <w:rPr>
                <w:rFonts w:ascii="MS Serif" w:eastAsia="MS Serif" w:hAnsi="MS Serif" w:cs="MS Serif"/>
                <w:sz w:val="16"/>
                <w:szCs w:val="16"/>
              </w:rPr>
              <w:t>Uomini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74C6D89" w14:textId="77777777" w:rsidR="004049E8" w:rsidRDefault="004049E8" w:rsidP="00885A55">
            <w:pPr>
              <w:pStyle w:val="TableStyle2A"/>
              <w:ind w:right="-194"/>
              <w:jc w:val="center"/>
              <w:rPr>
                <w:lang w:eastAsia="en-US"/>
              </w:rPr>
            </w:pPr>
            <w:r>
              <w:rPr>
                <w:rFonts w:ascii="MS Serif" w:eastAsia="MS Serif" w:hAnsi="MS Serif" w:cs="MS Serif"/>
                <w:sz w:val="16"/>
                <w:szCs w:val="16"/>
              </w:rPr>
              <w:t>Donne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130E29" w14:textId="77777777" w:rsidR="004049E8" w:rsidRDefault="004049E8" w:rsidP="00885A55">
            <w:pPr>
              <w:suppressAutoHyphens/>
              <w:ind w:right="-194"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8134297" w14:textId="77777777" w:rsidR="004049E8" w:rsidRDefault="004049E8" w:rsidP="00885A55">
            <w:pPr>
              <w:pStyle w:val="TableStyle2A"/>
              <w:ind w:right="-194"/>
              <w:jc w:val="center"/>
              <w:rPr>
                <w:rFonts w:ascii="MS Serif" w:eastAsia="MS Serif" w:hAnsi="MS Serif" w:cs="MS Serif"/>
                <w:sz w:val="16"/>
                <w:szCs w:val="16"/>
                <w:lang w:eastAsia="en-US"/>
              </w:rPr>
            </w:pPr>
            <w:r>
              <w:rPr>
                <w:rFonts w:ascii="MS Serif" w:eastAsia="MS Serif" w:hAnsi="MS Serif" w:cs="MS Serif"/>
                <w:sz w:val="16"/>
                <w:szCs w:val="16"/>
              </w:rPr>
              <w:t>Uomini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5EE72E6" w14:textId="77777777" w:rsidR="004049E8" w:rsidRDefault="004049E8" w:rsidP="00885A55">
            <w:pPr>
              <w:pStyle w:val="TableStyle2A"/>
              <w:ind w:right="-194"/>
              <w:jc w:val="center"/>
              <w:rPr>
                <w:rFonts w:ascii="MS Serif" w:eastAsia="MS Serif" w:hAnsi="MS Serif" w:cs="MS Serif"/>
                <w:sz w:val="16"/>
                <w:szCs w:val="16"/>
                <w:lang w:eastAsia="en-US"/>
              </w:rPr>
            </w:pPr>
            <w:r>
              <w:rPr>
                <w:rFonts w:ascii="MS Serif" w:eastAsia="MS Serif" w:hAnsi="MS Serif" w:cs="MS Serif"/>
                <w:sz w:val="16"/>
                <w:szCs w:val="16"/>
              </w:rPr>
              <w:t>Donne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47BAA571" w14:textId="77777777" w:rsidR="004049E8" w:rsidRDefault="004049E8" w:rsidP="00885A55">
            <w:pPr>
              <w:pStyle w:val="TableStyle2A"/>
              <w:ind w:right="-194"/>
              <w:jc w:val="center"/>
              <w:rPr>
                <w:rFonts w:ascii="MS Serif" w:eastAsia="MS Serif" w:hAnsi="MS Serif" w:cs="MS Serif"/>
                <w:sz w:val="16"/>
                <w:szCs w:val="16"/>
                <w:lang w:eastAsia="en-US"/>
              </w:rPr>
            </w:pPr>
            <w:r>
              <w:rPr>
                <w:rFonts w:ascii="MS Serif" w:eastAsia="MS Serif" w:hAnsi="MS Serif" w:cs="MS Serif"/>
                <w:sz w:val="16"/>
                <w:szCs w:val="16"/>
              </w:rPr>
              <w:t>Uomini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E69A941" w14:textId="77777777" w:rsidR="004049E8" w:rsidRDefault="004049E8" w:rsidP="00885A55">
            <w:pPr>
              <w:pStyle w:val="TableStyle2A"/>
              <w:ind w:right="-194"/>
              <w:jc w:val="center"/>
              <w:rPr>
                <w:lang w:eastAsia="en-US"/>
              </w:rPr>
            </w:pPr>
            <w:r>
              <w:rPr>
                <w:rFonts w:ascii="MS Serif" w:eastAsia="MS Serif" w:hAnsi="MS Serif" w:cs="MS Serif"/>
                <w:sz w:val="16"/>
                <w:szCs w:val="16"/>
              </w:rPr>
              <w:t>Donne</w:t>
            </w:r>
          </w:p>
        </w:tc>
      </w:tr>
      <w:tr w:rsidR="004049E8" w14:paraId="28E23450" w14:textId="77777777" w:rsidTr="00184E8E">
        <w:trPr>
          <w:trHeight w:val="324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921012A" w14:textId="77777777" w:rsidR="004049E8" w:rsidRDefault="004049E8" w:rsidP="00885A55">
            <w:pPr>
              <w:pStyle w:val="TableStyle2A"/>
              <w:ind w:right="-194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36700A" w14:textId="77777777" w:rsidR="004049E8" w:rsidRDefault="004049E8" w:rsidP="00885A55">
            <w:pPr>
              <w:pStyle w:val="TableStyle2A"/>
              <w:ind w:right="-193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</w:rPr>
              <w:t>90 (20%)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7509ED" w14:textId="77777777" w:rsidR="004049E8" w:rsidRDefault="004049E8" w:rsidP="00885A55">
            <w:pPr>
              <w:suppressAutoHyphens/>
              <w:spacing w:after="0"/>
              <w:ind w:right="-193"/>
              <w:jc w:val="center"/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11 (9%)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0A77DA" w14:textId="77777777" w:rsidR="004049E8" w:rsidRDefault="004049E8" w:rsidP="00885A55">
            <w:pPr>
              <w:suppressAutoHyphens/>
              <w:spacing w:after="0"/>
              <w:ind w:right="-194"/>
              <w:jc w:val="center"/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33 (18%)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A4CD39" w14:textId="77777777" w:rsidR="004049E8" w:rsidRDefault="004049E8" w:rsidP="00885A55">
            <w:pPr>
              <w:suppressAutoHyphens/>
              <w:spacing w:after="0"/>
              <w:ind w:right="-194"/>
              <w:jc w:val="center"/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2 (6%)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61D42F" w14:textId="77777777" w:rsidR="004049E8" w:rsidRDefault="004049E8" w:rsidP="00885A55">
            <w:pPr>
              <w:pStyle w:val="TableStyle2A"/>
              <w:ind w:right="-194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</w:rPr>
              <w:t>IV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15C5B3" w14:textId="77777777" w:rsidR="004049E8" w:rsidRDefault="004049E8" w:rsidP="00885A55">
            <w:pPr>
              <w:suppressAutoHyphens/>
              <w:spacing w:after="0"/>
              <w:ind w:right="-194"/>
              <w:jc w:val="center"/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10 (20%)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4E2777" w14:textId="77777777" w:rsidR="004049E8" w:rsidRDefault="004049E8" w:rsidP="00885A55">
            <w:pPr>
              <w:suppressAutoHyphens/>
              <w:spacing w:after="0"/>
              <w:ind w:right="-194"/>
              <w:jc w:val="center"/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37 (16%)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E4CC5FD" w14:textId="77777777" w:rsidR="004049E8" w:rsidRDefault="004049E8" w:rsidP="00885A55">
            <w:pPr>
              <w:pStyle w:val="TableStyle2A"/>
              <w:tabs>
                <w:tab w:val="right" w:pos="708"/>
              </w:tabs>
              <w:ind w:right="-194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</w:rPr>
              <w:t>294 (48%)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5458DE" w14:textId="774B9656" w:rsidR="004049E8" w:rsidRDefault="004049E8" w:rsidP="00885A55">
            <w:pPr>
              <w:pStyle w:val="TableStyle2A"/>
              <w:tabs>
                <w:tab w:val="right" w:pos="708"/>
              </w:tabs>
              <w:ind w:right="-194"/>
              <w:jc w:val="center"/>
              <w:rPr>
                <w:lang w:eastAsia="en-US"/>
              </w:rPr>
            </w:pPr>
            <w:r>
              <w:rPr>
                <w:rFonts w:ascii="Arial" w:hAnsi="Arial"/>
                <w:sz w:val="16"/>
                <w:szCs w:val="16"/>
              </w:rPr>
              <w:t>16 (47%)</w:t>
            </w:r>
          </w:p>
        </w:tc>
      </w:tr>
      <w:tr w:rsidR="004049E8" w14:paraId="0700CFB3" w14:textId="77777777" w:rsidTr="00184E8E">
        <w:trPr>
          <w:trHeight w:val="416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8FD97B0" w14:textId="77777777" w:rsidR="004049E8" w:rsidRDefault="004049E8" w:rsidP="00885A55">
            <w:pPr>
              <w:pStyle w:val="TableStyle2A"/>
              <w:ind w:right="-194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B0FE61" w14:textId="77777777" w:rsidR="004049E8" w:rsidRDefault="004049E8" w:rsidP="00885A55">
            <w:pPr>
              <w:pStyle w:val="TableStyle2A"/>
              <w:ind w:right="-193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</w:rPr>
              <w:t>196 (43%)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1B6EA2" w14:textId="77777777" w:rsidR="004049E8" w:rsidRDefault="004049E8" w:rsidP="00885A55">
            <w:pPr>
              <w:suppressAutoHyphens/>
              <w:spacing w:after="0"/>
              <w:ind w:right="-193"/>
              <w:jc w:val="center"/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64 (50%)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701AD1" w14:textId="77777777" w:rsidR="004049E8" w:rsidRDefault="004049E8" w:rsidP="00885A55">
            <w:pPr>
              <w:pStyle w:val="TableStyle2A"/>
              <w:tabs>
                <w:tab w:val="right" w:pos="920"/>
              </w:tabs>
              <w:ind w:right="-193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</w:rPr>
              <w:t>74 (40%)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C16EDC" w14:textId="77777777" w:rsidR="004049E8" w:rsidRDefault="004049E8" w:rsidP="00885A55">
            <w:pPr>
              <w:pStyle w:val="TableStyle2A"/>
              <w:tabs>
                <w:tab w:val="right" w:pos="920"/>
              </w:tabs>
              <w:ind w:right="-193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</w:rPr>
              <w:t>12 (38%)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C6CAD5" w14:textId="77777777" w:rsidR="004049E8" w:rsidRDefault="004049E8" w:rsidP="00885A55">
            <w:pPr>
              <w:pStyle w:val="TableStyle2A"/>
              <w:ind w:right="-193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</w:rPr>
              <w:t>V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603035" w14:textId="77777777" w:rsidR="004049E8" w:rsidRDefault="004049E8" w:rsidP="00885A55">
            <w:pPr>
              <w:suppressAutoHyphens/>
              <w:spacing w:after="0"/>
              <w:ind w:right="-193"/>
              <w:jc w:val="center"/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27 (53%)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265180" w14:textId="77777777" w:rsidR="004049E8" w:rsidRDefault="004049E8" w:rsidP="00885A55">
            <w:pPr>
              <w:suppressAutoHyphens/>
              <w:spacing w:after="0"/>
              <w:ind w:right="-193"/>
              <w:jc w:val="center"/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137 (59%)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41152B8" w14:textId="77777777" w:rsidR="004049E8" w:rsidRDefault="004049E8" w:rsidP="00885A55">
            <w:pPr>
              <w:suppressAutoHyphens/>
              <w:spacing w:after="0"/>
              <w:ind w:right="-193"/>
              <w:jc w:val="center"/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163 (27%)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9F5808" w14:textId="77777777" w:rsidR="004049E8" w:rsidRDefault="004049E8" w:rsidP="00885A55">
            <w:pPr>
              <w:suppressAutoHyphens/>
              <w:spacing w:after="0"/>
              <w:ind w:right="-193"/>
              <w:jc w:val="center"/>
            </w:pPr>
            <w:r>
              <w:rPr>
                <w:rFonts w:ascii="Arial" w:eastAsia="Arial Unicode MS" w:hAnsi="Arial"/>
                <w:sz w:val="16"/>
                <w:szCs w:val="16"/>
              </w:rPr>
              <w:t>8 (24%)</w:t>
            </w:r>
          </w:p>
        </w:tc>
      </w:tr>
      <w:tr w:rsidR="004049E8" w14:paraId="6DA567CF" w14:textId="77777777" w:rsidTr="00184E8E">
        <w:trPr>
          <w:trHeight w:val="416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52CC09F" w14:textId="77777777" w:rsidR="004049E8" w:rsidRDefault="004049E8" w:rsidP="00885A55">
            <w:pPr>
              <w:pStyle w:val="TableStyle2A"/>
              <w:tabs>
                <w:tab w:val="right" w:pos="920"/>
              </w:tabs>
              <w:ind w:right="-194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</w:rPr>
              <w:t>III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E66F3F" w14:textId="77777777" w:rsidR="004049E8" w:rsidRDefault="004049E8" w:rsidP="00885A55">
            <w:pPr>
              <w:pStyle w:val="TableStyle2A"/>
              <w:tabs>
                <w:tab w:val="right" w:pos="920"/>
              </w:tabs>
              <w:ind w:right="-193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</w:rPr>
              <w:t>168 (37%)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46BBC7" w14:textId="77777777" w:rsidR="004049E8" w:rsidRDefault="004049E8" w:rsidP="00885A55">
            <w:pPr>
              <w:pStyle w:val="TableStyle2A"/>
              <w:tabs>
                <w:tab w:val="right" w:pos="920"/>
              </w:tabs>
              <w:ind w:right="-193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</w:rPr>
              <w:t>52 (41%)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9E6662" w14:textId="77777777" w:rsidR="004049E8" w:rsidRDefault="004049E8" w:rsidP="00885A55">
            <w:pPr>
              <w:pStyle w:val="TableStyle2A"/>
              <w:tabs>
                <w:tab w:val="right" w:pos="920"/>
              </w:tabs>
              <w:ind w:right="-193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</w:rPr>
              <w:t>78 (42%)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CA9413" w14:textId="77777777" w:rsidR="004049E8" w:rsidRDefault="004049E8" w:rsidP="00885A55">
            <w:pPr>
              <w:pStyle w:val="TableStyle2A"/>
              <w:tabs>
                <w:tab w:val="right" w:pos="920"/>
              </w:tabs>
              <w:ind w:right="-193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</w:rPr>
              <w:t>18 (56%)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9F588B" w14:textId="77777777" w:rsidR="004049E8" w:rsidRDefault="004049E8" w:rsidP="00885A55">
            <w:pPr>
              <w:pStyle w:val="TableStyle2A"/>
              <w:ind w:right="-193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</w:rPr>
              <w:t>VI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14BCD1" w14:textId="77777777" w:rsidR="004049E8" w:rsidRDefault="004049E8" w:rsidP="00885A55">
            <w:pPr>
              <w:pStyle w:val="TableStyle2A"/>
              <w:ind w:right="-193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</w:rPr>
              <w:t>13 (25%)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9C5C31" w14:textId="77777777" w:rsidR="004049E8" w:rsidRDefault="004049E8" w:rsidP="00885A55">
            <w:pPr>
              <w:suppressAutoHyphens/>
              <w:spacing w:after="0"/>
              <w:ind w:right="-193"/>
              <w:jc w:val="center"/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44 (19%)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7899B77" w14:textId="77777777" w:rsidR="004049E8" w:rsidRDefault="004049E8" w:rsidP="00885A55">
            <w:pPr>
              <w:suppressAutoHyphens/>
              <w:spacing w:after="0"/>
              <w:ind w:right="-193"/>
              <w:jc w:val="center"/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131 (21%)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1E1201" w14:textId="29D34952" w:rsidR="004049E8" w:rsidRDefault="004049E8" w:rsidP="00885A55">
            <w:pPr>
              <w:suppressAutoHyphens/>
              <w:spacing w:after="0"/>
              <w:ind w:right="-193"/>
              <w:jc w:val="center"/>
            </w:pPr>
            <w:r>
              <w:rPr>
                <w:rFonts w:ascii="Arial" w:eastAsia="Arial Unicode MS" w:hAnsi="Arial"/>
                <w:sz w:val="16"/>
                <w:szCs w:val="16"/>
              </w:rPr>
              <w:t>10 (29%)</w:t>
            </w:r>
          </w:p>
        </w:tc>
      </w:tr>
      <w:tr w:rsidR="004049E8" w14:paraId="576FDEB7" w14:textId="77777777" w:rsidTr="00184E8E">
        <w:trPr>
          <w:trHeight w:val="286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D8C59EB" w14:textId="77777777" w:rsidR="004049E8" w:rsidRDefault="004049E8" w:rsidP="00C74C62">
            <w:pPr>
              <w:suppressAutoHyphens/>
              <w:spacing w:after="0"/>
              <w:ind w:right="-193"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6297F7" w14:textId="77777777" w:rsidR="004049E8" w:rsidRDefault="004049E8" w:rsidP="00C74C62">
            <w:pPr>
              <w:suppressAutoHyphens/>
              <w:spacing w:after="0"/>
              <w:ind w:right="-193"/>
              <w:rPr>
                <w:rFonts w:eastAsia="Arial Unicode M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6CA17E" w14:textId="77777777" w:rsidR="004049E8" w:rsidRDefault="004049E8" w:rsidP="00C74C62">
            <w:pPr>
              <w:suppressAutoHyphens/>
              <w:spacing w:after="0"/>
              <w:ind w:right="-193"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7C328C" w14:textId="77777777" w:rsidR="004049E8" w:rsidRDefault="004049E8" w:rsidP="00C74C62">
            <w:pPr>
              <w:suppressAutoHyphens/>
              <w:spacing w:after="0"/>
              <w:ind w:right="-193"/>
              <w:rPr>
                <w:rFonts w:eastAsia="Arial Unicode M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6ABDB2F" w14:textId="77777777" w:rsidR="004049E8" w:rsidRDefault="004049E8" w:rsidP="00C74C62">
            <w:pPr>
              <w:suppressAutoHyphens/>
              <w:spacing w:after="0"/>
              <w:ind w:right="-193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0467FF" w14:textId="77777777" w:rsidR="004049E8" w:rsidRDefault="004049E8" w:rsidP="00C74C62">
            <w:pPr>
              <w:pStyle w:val="TableStyle2A"/>
              <w:ind w:right="-193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</w:rPr>
              <w:t>VII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6169E3F" w14:textId="77777777" w:rsidR="004049E8" w:rsidRDefault="004049E8" w:rsidP="00C74C62">
            <w:pPr>
              <w:suppressAutoHyphens/>
              <w:spacing w:after="0"/>
              <w:ind w:right="-193"/>
              <w:jc w:val="center"/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1 (2%)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CC18D0E" w14:textId="77777777" w:rsidR="004049E8" w:rsidRDefault="004049E8" w:rsidP="00C74C62">
            <w:pPr>
              <w:suppressAutoHyphens/>
              <w:spacing w:after="0"/>
              <w:ind w:right="-193"/>
              <w:jc w:val="center"/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14 (6%)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284D5ECE" w14:textId="77777777" w:rsidR="004049E8" w:rsidRDefault="004049E8" w:rsidP="00C74C62">
            <w:pPr>
              <w:suppressAutoHyphens/>
              <w:spacing w:after="0"/>
              <w:ind w:right="-193"/>
              <w:jc w:val="center"/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11 (2%)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B3ABCF5" w14:textId="77777777" w:rsidR="004049E8" w:rsidRDefault="004049E8" w:rsidP="00C74C62">
            <w:pPr>
              <w:suppressAutoHyphens/>
              <w:spacing w:after="0"/>
              <w:ind w:right="-193"/>
              <w:jc w:val="center"/>
            </w:pPr>
            <w:r>
              <w:rPr>
                <w:rFonts w:ascii="Arial" w:eastAsia="Arial Unicode MS" w:hAnsi="Arial"/>
                <w:sz w:val="16"/>
                <w:szCs w:val="16"/>
              </w:rPr>
              <w:t>0</w:t>
            </w:r>
          </w:p>
        </w:tc>
      </w:tr>
      <w:tr w:rsidR="004049E8" w14:paraId="7462E20D" w14:textId="77777777" w:rsidTr="00184E8E">
        <w:trPr>
          <w:trHeight w:val="293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BFF8E7" w14:textId="77777777" w:rsidR="004049E8" w:rsidRDefault="004049E8" w:rsidP="00C74C62">
            <w:pPr>
              <w:suppressAutoHyphens/>
              <w:spacing w:after="0"/>
              <w:ind w:right="-193"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BCC1BC" w14:textId="77777777" w:rsidR="004049E8" w:rsidRDefault="004049E8" w:rsidP="00C74C62">
            <w:pPr>
              <w:suppressAutoHyphens/>
              <w:spacing w:after="0"/>
              <w:ind w:right="-193"/>
              <w:rPr>
                <w:rFonts w:eastAsia="Arial Unicode M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6120E3" w14:textId="77777777" w:rsidR="004049E8" w:rsidRDefault="004049E8" w:rsidP="00C74C62">
            <w:pPr>
              <w:suppressAutoHyphens/>
              <w:spacing w:after="0"/>
              <w:ind w:right="-193"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378B44" w14:textId="77777777" w:rsidR="004049E8" w:rsidRDefault="004049E8" w:rsidP="00C74C62">
            <w:pPr>
              <w:suppressAutoHyphens/>
              <w:spacing w:after="0"/>
              <w:ind w:right="-193"/>
              <w:rPr>
                <w:rFonts w:eastAsia="Arial Unicode M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E691A2" w14:textId="77777777" w:rsidR="004049E8" w:rsidRDefault="004049E8" w:rsidP="00C74C62">
            <w:pPr>
              <w:suppressAutoHyphens/>
              <w:spacing w:after="0"/>
              <w:ind w:right="-193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A6DDD46" w14:textId="77777777" w:rsidR="004049E8" w:rsidRDefault="004049E8" w:rsidP="00C74C62">
            <w:pPr>
              <w:pStyle w:val="TableStyle2A"/>
              <w:ind w:right="-193"/>
              <w:jc w:val="center"/>
              <w:rPr>
                <w:lang w:eastAsia="en-US"/>
              </w:rPr>
            </w:pPr>
            <w:r>
              <w:rPr>
                <w:rFonts w:ascii="Arial" w:hAnsi="Arial"/>
                <w:sz w:val="16"/>
                <w:szCs w:val="16"/>
              </w:rPr>
              <w:t>VIII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CEB625" w14:textId="77777777" w:rsidR="004049E8" w:rsidRDefault="004049E8" w:rsidP="00C74C62">
            <w:pPr>
              <w:suppressAutoHyphens/>
              <w:spacing w:after="0"/>
              <w:ind w:right="-193"/>
              <w:rPr>
                <w:rFonts w:eastAsia="Arial Unicode M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C2EA30E" w14:textId="77777777" w:rsidR="004049E8" w:rsidRDefault="004049E8" w:rsidP="00C74C62">
            <w:pPr>
              <w:suppressAutoHyphens/>
              <w:spacing w:after="0"/>
              <w:ind w:right="-193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7431FBFE" w14:textId="77777777" w:rsidR="004049E8" w:rsidRDefault="004049E8" w:rsidP="00C74C62">
            <w:pPr>
              <w:suppressAutoHyphens/>
              <w:spacing w:after="0"/>
              <w:ind w:right="-193"/>
              <w:jc w:val="center"/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10 (2%)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C9D2A0C" w14:textId="77777777" w:rsidR="004049E8" w:rsidRDefault="004049E8" w:rsidP="00C74C62">
            <w:pPr>
              <w:suppressAutoHyphens/>
              <w:spacing w:after="0"/>
              <w:ind w:right="-193"/>
              <w:jc w:val="center"/>
            </w:pPr>
            <w:r>
              <w:rPr>
                <w:rFonts w:ascii="Arial" w:eastAsia="Arial Unicode MS" w:hAnsi="Arial"/>
                <w:sz w:val="16"/>
                <w:szCs w:val="16"/>
              </w:rPr>
              <w:t>0</w:t>
            </w:r>
          </w:p>
        </w:tc>
      </w:tr>
      <w:tr w:rsidR="004049E8" w14:paraId="00FC6FB6" w14:textId="77777777" w:rsidTr="00184E8E">
        <w:trPr>
          <w:trHeight w:val="228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08708CF" w14:textId="77777777" w:rsidR="004049E8" w:rsidRDefault="004049E8" w:rsidP="00C74C62">
            <w:pPr>
              <w:suppressAutoHyphens/>
              <w:spacing w:after="0"/>
              <w:ind w:right="-194"/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b/>
                <w:bCs/>
                <w:i/>
                <w:iCs/>
                <w:sz w:val="16"/>
                <w:szCs w:val="16"/>
              </w:rPr>
              <w:t>Totale per genere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76998E2" w14:textId="77777777" w:rsidR="004049E8" w:rsidRDefault="004049E8" w:rsidP="00C74C62">
            <w:pPr>
              <w:suppressAutoHyphens/>
              <w:spacing w:after="0"/>
              <w:ind w:right="-194"/>
              <w:jc w:val="center"/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454 (78%)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191AEBF9" w14:textId="77777777" w:rsidR="004049E8" w:rsidRDefault="004049E8" w:rsidP="00C74C62">
            <w:pPr>
              <w:suppressAutoHyphens/>
              <w:spacing w:after="0"/>
              <w:ind w:right="-194"/>
              <w:jc w:val="center"/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127 (22%)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8DB6914" w14:textId="77777777" w:rsidR="004049E8" w:rsidRDefault="004049E8" w:rsidP="00C74C62">
            <w:pPr>
              <w:suppressAutoHyphens/>
              <w:spacing w:after="0"/>
              <w:ind w:right="-194"/>
              <w:jc w:val="center"/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185 (85%)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45AF1E4" w14:textId="77777777" w:rsidR="004049E8" w:rsidRDefault="004049E8" w:rsidP="00C74C62">
            <w:pPr>
              <w:suppressAutoHyphens/>
              <w:spacing w:after="0"/>
              <w:ind w:right="-194"/>
              <w:jc w:val="center"/>
              <w:rPr>
                <w:rFonts w:eastAsia="Arial Unicode MS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32(15%)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FE9890" w14:textId="77777777" w:rsidR="004049E8" w:rsidRDefault="004049E8" w:rsidP="00C74C62">
            <w:pPr>
              <w:suppressAutoHyphens/>
              <w:spacing w:after="0"/>
              <w:ind w:right="-194"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52F92E6" w14:textId="77777777" w:rsidR="004049E8" w:rsidRDefault="004049E8" w:rsidP="00C74C62">
            <w:pPr>
              <w:suppressAutoHyphens/>
              <w:spacing w:after="0"/>
              <w:ind w:right="-194"/>
              <w:jc w:val="center"/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51 (18%)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D233914" w14:textId="77777777" w:rsidR="004049E8" w:rsidRDefault="004049E8" w:rsidP="00C74C62">
            <w:pPr>
              <w:suppressAutoHyphens/>
              <w:spacing w:after="0"/>
              <w:ind w:right="-194"/>
              <w:jc w:val="center"/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232(82%)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3B517E98" w14:textId="77777777" w:rsidR="004049E8" w:rsidRDefault="004049E8" w:rsidP="00C74C62">
            <w:pPr>
              <w:suppressAutoHyphens/>
              <w:spacing w:after="0"/>
              <w:ind w:right="-194"/>
              <w:jc w:val="center"/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609 (95%)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40726E40" w14:textId="77777777" w:rsidR="004049E8" w:rsidRDefault="004049E8" w:rsidP="00C74C62">
            <w:pPr>
              <w:suppressAutoHyphens/>
              <w:spacing w:after="0"/>
              <w:ind w:right="-194"/>
              <w:jc w:val="center"/>
            </w:pPr>
            <w:r>
              <w:rPr>
                <w:rFonts w:ascii="Arial" w:eastAsia="Arial Unicode MS" w:hAnsi="Arial"/>
                <w:sz w:val="16"/>
                <w:szCs w:val="16"/>
              </w:rPr>
              <w:t>34 (5%)</w:t>
            </w:r>
          </w:p>
        </w:tc>
      </w:tr>
      <w:tr w:rsidR="004049E8" w14:paraId="23017C3C" w14:textId="77777777" w:rsidTr="00184E8E">
        <w:trPr>
          <w:trHeight w:val="465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5AE80A5C" w14:textId="1302E8F4" w:rsidR="004049E8" w:rsidRPr="00885A55" w:rsidRDefault="004049E8" w:rsidP="00C74C62">
            <w:pPr>
              <w:spacing w:after="0"/>
              <w:ind w:right="-194"/>
              <w:rPr>
                <w:rFonts w:ascii="Arial" w:eastAsia="Arial Unicode MS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i/>
                <w:sz w:val="16"/>
                <w:szCs w:val="16"/>
              </w:rPr>
              <w:t>Totale per</w:t>
            </w:r>
            <w:r w:rsidR="00885A55">
              <w:rPr>
                <w:rFonts w:ascii="Arial" w:eastAsia="Arial Unicode MS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b/>
                <w:i/>
                <w:sz w:val="16"/>
                <w:szCs w:val="16"/>
              </w:rPr>
              <w:t xml:space="preserve">profilo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E249E9" w14:textId="77777777" w:rsidR="004049E8" w:rsidRDefault="004049E8" w:rsidP="00C74C62">
            <w:pPr>
              <w:suppressAutoHyphens/>
              <w:spacing w:after="0"/>
              <w:ind w:right="-193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581 (34%)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3A24FF" w14:textId="77777777" w:rsidR="004049E8" w:rsidRDefault="004049E8" w:rsidP="00C74C62">
            <w:pPr>
              <w:suppressAutoHyphens/>
              <w:spacing w:after="0"/>
              <w:ind w:right="-193"/>
              <w:jc w:val="center"/>
              <w:rPr>
                <w:rFonts w:eastAsia="Arial Unicode M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217 (13%)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A0AB3" w14:textId="77777777" w:rsidR="004049E8" w:rsidRDefault="004049E8" w:rsidP="00C74C62">
            <w:pPr>
              <w:suppressAutoHyphens/>
              <w:spacing w:after="0"/>
              <w:ind w:right="-193"/>
              <w:jc w:val="center"/>
              <w:rPr>
                <w:rFonts w:eastAsia="Arial Unicode M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695A7C" w14:textId="77777777" w:rsidR="004049E8" w:rsidRDefault="004049E8" w:rsidP="00C74C62">
            <w:pPr>
              <w:suppressAutoHyphens/>
              <w:spacing w:after="0"/>
              <w:ind w:right="-193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283 (16%)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C0F846" w14:textId="77777777" w:rsidR="004049E8" w:rsidRDefault="004049E8" w:rsidP="00C74C62">
            <w:pPr>
              <w:suppressAutoHyphens/>
              <w:spacing w:after="0"/>
              <w:ind w:right="-193"/>
              <w:jc w:val="center"/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643 (37%)</w:t>
            </w:r>
          </w:p>
        </w:tc>
      </w:tr>
    </w:tbl>
    <w:p w14:paraId="0B07D0D5" w14:textId="77777777" w:rsidR="004049E8" w:rsidRDefault="004049E8" w:rsidP="00885A55">
      <w:pPr>
        <w:pStyle w:val="Body2"/>
        <w:spacing w:after="120" w:line="100" w:lineRule="atLeast"/>
        <w:ind w:right="-194"/>
        <w:jc w:val="both"/>
        <w:rPr>
          <w:rFonts w:ascii="Times" w:hAnsi="Times" w:cs="Times"/>
          <w:sz w:val="24"/>
          <w:szCs w:val="24"/>
          <w:lang w:eastAsia="en-US"/>
        </w:rPr>
      </w:pPr>
    </w:p>
    <w:p w14:paraId="213EFF7E" w14:textId="1C054EAC" w:rsidR="0049226F" w:rsidRPr="0049226F" w:rsidRDefault="0049226F" w:rsidP="0049226F">
      <w:pPr>
        <w:pStyle w:val="Body2"/>
        <w:spacing w:after="120" w:line="100" w:lineRule="atLeast"/>
        <w:ind w:right="-194"/>
        <w:jc w:val="both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Rispetto al 2013, non sono mutate le</w:t>
      </w:r>
      <w:r w:rsidRPr="0049226F">
        <w:rPr>
          <w:rFonts w:asciiTheme="minorHAnsi" w:hAnsiTheme="minorHAnsi" w:cs="Times"/>
          <w:sz w:val="22"/>
          <w:szCs w:val="22"/>
        </w:rPr>
        <w:t xml:space="preserve"> distribuzioni per età del pers</w:t>
      </w:r>
      <w:r>
        <w:rPr>
          <w:rFonts w:asciiTheme="minorHAnsi" w:hAnsiTheme="minorHAnsi" w:cs="Times"/>
          <w:sz w:val="22"/>
          <w:szCs w:val="22"/>
        </w:rPr>
        <w:t xml:space="preserve">onale per i differenti profili e </w:t>
      </w:r>
      <w:r w:rsidRPr="0049226F">
        <w:rPr>
          <w:rFonts w:asciiTheme="minorHAnsi" w:hAnsiTheme="minorHAnsi" w:cs="Times"/>
          <w:sz w:val="22"/>
          <w:szCs w:val="22"/>
        </w:rPr>
        <w:t>per sesso</w:t>
      </w:r>
      <w:r>
        <w:rPr>
          <w:rFonts w:asciiTheme="minorHAnsi" w:hAnsiTheme="minorHAnsi" w:cs="Times"/>
          <w:sz w:val="22"/>
          <w:szCs w:val="22"/>
        </w:rPr>
        <w:t xml:space="preserve"> riportate nella figura1</w:t>
      </w:r>
      <w:r w:rsidRPr="0049226F">
        <w:rPr>
          <w:rFonts w:asciiTheme="minorHAnsi" w:hAnsiTheme="minorHAnsi" w:cs="Times"/>
          <w:sz w:val="22"/>
          <w:szCs w:val="22"/>
        </w:rPr>
        <w:t xml:space="preserve">. L’età media del personale </w:t>
      </w:r>
      <w:proofErr w:type="spellStart"/>
      <w:r w:rsidR="003E4FC0">
        <w:rPr>
          <w:rFonts w:asciiTheme="minorHAnsi" w:hAnsiTheme="minorHAnsi" w:cs="Times"/>
          <w:sz w:val="22"/>
          <w:szCs w:val="22"/>
        </w:rPr>
        <w:t>é</w:t>
      </w:r>
      <w:proofErr w:type="spellEnd"/>
      <w:r w:rsidRPr="0049226F">
        <w:rPr>
          <w:rFonts w:asciiTheme="minorHAnsi" w:hAnsiTheme="minorHAnsi" w:cs="Times"/>
          <w:sz w:val="22"/>
          <w:szCs w:val="22"/>
        </w:rPr>
        <w:t xml:space="preserve"> attorno o oltre i 50 anni per tutti i profili e ha un picco, evidenziando che l’accesso alla ricerca, anziché crescere come ci si aspetterebbe da una società basata sulla ricerca e sulla conoscenza, è diminuita, e le assunzioni avvengono attorno ai 40 anni. </w:t>
      </w:r>
    </w:p>
    <w:p w14:paraId="08DC5121" w14:textId="77777777" w:rsidR="0049226F" w:rsidRDefault="0049226F" w:rsidP="0049226F">
      <w:pPr>
        <w:jc w:val="both"/>
        <w:rPr>
          <w:rFonts w:ascii="Times" w:hAnsi="Times" w:cs="Times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49226F" w14:paraId="3224582B" w14:textId="77777777" w:rsidTr="0049226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2115FD" w14:textId="77777777" w:rsidR="0049226F" w:rsidRDefault="0049226F" w:rsidP="0049226F">
            <w:pPr>
              <w:pStyle w:val="TableContents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1312" behindDoc="0" locked="0" layoutInCell="1" allowOverlap="1" wp14:anchorId="1ED8F9C4" wp14:editId="04F28B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989580" cy="1910715"/>
                  <wp:effectExtent l="0" t="0" r="1270" b="0"/>
                  <wp:wrapTopAndBottom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580" cy="1910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" w:hAnsi="Times"/>
                <w:sz w:val="24"/>
                <w:szCs w:val="24"/>
              </w:rPr>
              <w:t>Ricercatori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554AD4" w14:textId="77777777" w:rsidR="0049226F" w:rsidRDefault="0049226F" w:rsidP="0049226F">
            <w:pPr>
              <w:pStyle w:val="TableContents"/>
              <w:jc w:val="both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2336" behindDoc="0" locked="0" layoutInCell="1" allowOverlap="1" wp14:anchorId="67D029EF" wp14:editId="37E59176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989580" cy="2036445"/>
                  <wp:effectExtent l="0" t="0" r="1270" b="1905"/>
                  <wp:wrapTopAndBottom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580" cy="203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" w:hAnsi="Times" w:cs="Times"/>
                <w:sz w:val="24"/>
                <w:szCs w:val="24"/>
              </w:rPr>
              <w:t>Tecnologi</w:t>
            </w:r>
          </w:p>
        </w:tc>
      </w:tr>
      <w:tr w:rsidR="0049226F" w14:paraId="4F31B9C6" w14:textId="77777777" w:rsidTr="0049226F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74975" w14:textId="77777777" w:rsidR="0049226F" w:rsidRDefault="0049226F" w:rsidP="0049226F">
            <w:pPr>
              <w:pStyle w:val="TableContents"/>
              <w:jc w:val="both"/>
            </w:pPr>
            <w:r>
              <w:rPr>
                <w:noProof/>
                <w:lang w:eastAsia="it-IT"/>
              </w:rPr>
              <w:lastRenderedPageBreak/>
              <w:drawing>
                <wp:anchor distT="0" distB="0" distL="0" distR="0" simplePos="0" relativeHeight="251663360" behindDoc="0" locked="0" layoutInCell="1" allowOverlap="1" wp14:anchorId="7D0A3B53" wp14:editId="0C92C8BB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989580" cy="1981200"/>
                  <wp:effectExtent l="0" t="0" r="1270" b="0"/>
                  <wp:wrapTopAndBottom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580" cy="198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" w:hAnsi="Times" w:cs="Times"/>
                <w:sz w:val="24"/>
                <w:szCs w:val="24"/>
              </w:rPr>
              <w:t>Tecnici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A9CD32" w14:textId="77777777" w:rsidR="0049226F" w:rsidRDefault="0049226F" w:rsidP="0049226F">
            <w:pPr>
              <w:pStyle w:val="TableContents"/>
              <w:jc w:val="both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4384" behindDoc="0" locked="0" layoutInCell="1" allowOverlap="1" wp14:anchorId="762B5EDC" wp14:editId="78E30F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989580" cy="2163445"/>
                  <wp:effectExtent l="0" t="0" r="1270" b="8255"/>
                  <wp:wrapTopAndBottom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580" cy="2163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" w:hAnsi="Times" w:cs="Times"/>
                <w:sz w:val="24"/>
                <w:szCs w:val="24"/>
              </w:rPr>
              <w:t>Amministrativi</w:t>
            </w:r>
          </w:p>
        </w:tc>
      </w:tr>
      <w:tr w:rsidR="0049226F" w14:paraId="36BA298E" w14:textId="77777777" w:rsidTr="0049226F">
        <w:tc>
          <w:tcPr>
            <w:tcW w:w="9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B0CD20" w14:textId="7EBCA74D" w:rsidR="0049226F" w:rsidRPr="00630590" w:rsidRDefault="0049226F" w:rsidP="00630590">
            <w:pPr>
              <w:pStyle w:val="TableContents"/>
              <w:jc w:val="both"/>
              <w:rPr>
                <w:rFonts w:asciiTheme="minorHAnsi" w:hAnsiTheme="minorHAnsi"/>
              </w:rPr>
            </w:pPr>
            <w:r w:rsidRPr="00630590">
              <w:rPr>
                <w:rFonts w:asciiTheme="minorHAnsi" w:hAnsiTheme="minorHAnsi" w:cs="Times"/>
                <w:b/>
              </w:rPr>
              <w:t>Figura 1</w:t>
            </w:r>
            <w:r w:rsidRPr="00630590">
              <w:rPr>
                <w:rFonts w:asciiTheme="minorHAnsi" w:hAnsiTheme="minorHAnsi" w:cs="Times"/>
              </w:rPr>
              <w:t xml:space="preserve">. </w:t>
            </w:r>
            <w:r w:rsidR="00630590">
              <w:rPr>
                <w:rFonts w:asciiTheme="minorHAnsi" w:hAnsiTheme="minorHAnsi" w:cs="Times"/>
              </w:rPr>
              <w:t>D</w:t>
            </w:r>
            <w:r w:rsidRPr="00630590">
              <w:rPr>
                <w:rFonts w:asciiTheme="minorHAnsi" w:hAnsiTheme="minorHAnsi" w:cs="Times"/>
              </w:rPr>
              <w:t>istribuzioni per età del personale per i differenti profili</w:t>
            </w:r>
            <w:r w:rsidR="00630590">
              <w:rPr>
                <w:rFonts w:asciiTheme="minorHAnsi" w:hAnsiTheme="minorHAnsi" w:cs="Times"/>
              </w:rPr>
              <w:t xml:space="preserve"> e</w:t>
            </w:r>
            <w:r w:rsidRPr="00630590">
              <w:rPr>
                <w:rFonts w:asciiTheme="minorHAnsi" w:hAnsiTheme="minorHAnsi" w:cs="Times"/>
              </w:rPr>
              <w:t xml:space="preserve"> per sesso. Nei grafici è riportato inoltre il numero di uomini per ogni donna nel profilo o il numero di donne per ogni uomo nel profilo amministrativo.</w:t>
            </w:r>
          </w:p>
        </w:tc>
      </w:tr>
    </w:tbl>
    <w:p w14:paraId="2063873D" w14:textId="77777777" w:rsidR="00FF7F29" w:rsidRDefault="00FF7F29" w:rsidP="00695827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 w:cs="Times"/>
        </w:rPr>
      </w:pPr>
    </w:p>
    <w:p w14:paraId="7A8D0252" w14:textId="233E52B1" w:rsidR="00E93845" w:rsidRDefault="00270E6F" w:rsidP="00695827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 w:cs="Times"/>
        </w:rPr>
      </w:pPr>
      <w:r>
        <w:rPr>
          <w:rFonts w:eastAsiaTheme="minorEastAsia" w:cs="Times"/>
        </w:rPr>
        <w:t xml:space="preserve">Parimenti è stato evidenziato un fenomeno di segregazione orizzontale all’interno delle diverse aree di ricerca (commissioni scientifiche), dove, a fronte di una popolazione studentesca divisa abbastanza equamente per genere fra i diversi settori disciplinari, la presenza femminile </w:t>
      </w:r>
      <w:r w:rsidR="00AD1500">
        <w:rPr>
          <w:rFonts w:eastAsiaTheme="minorEastAsia" w:cs="Times"/>
        </w:rPr>
        <w:t xml:space="preserve">fra i dipendenti </w:t>
      </w:r>
      <w:r>
        <w:rPr>
          <w:rFonts w:eastAsiaTheme="minorEastAsia" w:cs="Times"/>
        </w:rPr>
        <w:t>nell</w:t>
      </w:r>
      <w:r w:rsidR="006A56B1">
        <w:rPr>
          <w:rFonts w:eastAsiaTheme="minorEastAsia" w:cs="Times"/>
        </w:rPr>
        <w:t>e</w:t>
      </w:r>
      <w:r>
        <w:rPr>
          <w:rFonts w:eastAsiaTheme="minorEastAsia" w:cs="Times"/>
        </w:rPr>
        <w:t xml:space="preserve"> </w:t>
      </w:r>
      <w:r w:rsidR="00AD1500">
        <w:rPr>
          <w:rFonts w:eastAsiaTheme="minorEastAsia" w:cs="Times"/>
        </w:rPr>
        <w:t xml:space="preserve">diverse </w:t>
      </w:r>
      <w:r>
        <w:rPr>
          <w:rFonts w:eastAsiaTheme="minorEastAsia" w:cs="Times"/>
        </w:rPr>
        <w:t>commission</w:t>
      </w:r>
      <w:r w:rsidR="00AD1500">
        <w:rPr>
          <w:rFonts w:eastAsiaTheme="minorEastAsia" w:cs="Times"/>
        </w:rPr>
        <w:t>i va dal 30% della CSN3</w:t>
      </w:r>
      <w:r>
        <w:rPr>
          <w:rFonts w:eastAsiaTheme="minorEastAsia" w:cs="Times"/>
        </w:rPr>
        <w:t xml:space="preserve"> </w:t>
      </w:r>
      <w:r w:rsidR="00AD1500">
        <w:rPr>
          <w:rFonts w:eastAsiaTheme="minorEastAsia" w:cs="Times"/>
        </w:rPr>
        <w:t>al</w:t>
      </w:r>
      <w:r>
        <w:rPr>
          <w:rFonts w:eastAsiaTheme="minorEastAsia" w:cs="Times"/>
        </w:rPr>
        <w:t xml:space="preserve"> 12%</w:t>
      </w:r>
      <w:r w:rsidR="00AD1500">
        <w:rPr>
          <w:rFonts w:eastAsiaTheme="minorEastAsia" w:cs="Times"/>
        </w:rPr>
        <w:t xml:space="preserve"> della </w:t>
      </w:r>
      <w:r>
        <w:rPr>
          <w:rFonts w:eastAsiaTheme="minorEastAsia" w:cs="Times"/>
        </w:rPr>
        <w:t>CSN</w:t>
      </w:r>
      <w:r w:rsidR="00AD1500">
        <w:rPr>
          <w:rFonts w:eastAsiaTheme="minorEastAsia" w:cs="Times"/>
        </w:rPr>
        <w:t>4</w:t>
      </w:r>
      <w:r>
        <w:rPr>
          <w:rFonts w:eastAsiaTheme="minorEastAsia" w:cs="Times"/>
        </w:rPr>
        <w:t xml:space="preserve"> </w:t>
      </w:r>
      <w:r w:rsidR="00AD1500">
        <w:rPr>
          <w:rFonts w:eastAsiaTheme="minorEastAsia" w:cs="Times"/>
        </w:rPr>
        <w:t>(</w:t>
      </w:r>
      <w:r w:rsidR="00AF5AF5">
        <w:rPr>
          <w:rFonts w:eastAsiaTheme="minorEastAsia" w:cs="Times"/>
        </w:rPr>
        <w:t xml:space="preserve">dati 2015 nei </w:t>
      </w:r>
      <w:r w:rsidR="00AD1500">
        <w:rPr>
          <w:rFonts w:eastAsiaTheme="minorEastAsia" w:cs="Times"/>
        </w:rPr>
        <w:t xml:space="preserve">preventivi </w:t>
      </w:r>
      <w:r w:rsidR="00AF5AF5">
        <w:rPr>
          <w:rFonts w:eastAsiaTheme="minorEastAsia" w:cs="Times"/>
        </w:rPr>
        <w:t xml:space="preserve">per il </w:t>
      </w:r>
      <w:r w:rsidR="00AD1500">
        <w:rPr>
          <w:rFonts w:eastAsiaTheme="minorEastAsia" w:cs="Times"/>
        </w:rPr>
        <w:t>2016).</w:t>
      </w:r>
    </w:p>
    <w:p w14:paraId="0E819CF9" w14:textId="77777777" w:rsidR="00270E6F" w:rsidRDefault="00270E6F" w:rsidP="00695827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 w:cs="Times"/>
        </w:rPr>
      </w:pPr>
    </w:p>
    <w:p w14:paraId="4EE0F653" w14:textId="184478D5" w:rsidR="00EE7605" w:rsidRDefault="00F2322F" w:rsidP="00695827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 w:cs="Times"/>
        </w:rPr>
      </w:pPr>
      <w:r>
        <w:rPr>
          <w:rFonts w:eastAsiaTheme="minorEastAsia" w:cs="Times"/>
        </w:rPr>
        <w:t>Per quanto riguarda il personale TA,</w:t>
      </w:r>
      <w:r w:rsidR="00EE7605">
        <w:rPr>
          <w:rFonts w:eastAsiaTheme="minorEastAsia" w:cs="Times"/>
        </w:rPr>
        <w:t xml:space="preserve"> la situazione degli incarichi </w:t>
      </w:r>
      <w:r>
        <w:rPr>
          <w:rFonts w:eastAsiaTheme="minorEastAsia" w:cs="Times"/>
        </w:rPr>
        <w:t>di responsabilità è a sfavore delle donne. A titolo di esempio, n</w:t>
      </w:r>
      <w:r w:rsidRPr="00F2322F">
        <w:rPr>
          <w:rFonts w:eastAsiaTheme="minorEastAsia" w:cs="Times"/>
        </w:rPr>
        <w:t xml:space="preserve">ei servizi (amministrativi, tecnici e </w:t>
      </w:r>
      <w:r>
        <w:rPr>
          <w:rFonts w:eastAsiaTheme="minorEastAsia" w:cs="Times"/>
        </w:rPr>
        <w:t xml:space="preserve">dei rappresentanti </w:t>
      </w:r>
      <w:r w:rsidRPr="00F2322F">
        <w:rPr>
          <w:rFonts w:eastAsiaTheme="minorEastAsia" w:cs="Times"/>
        </w:rPr>
        <w:t>delle sicurezze) una donna è responsabile nel 25% dei casi</w:t>
      </w:r>
      <w:r>
        <w:rPr>
          <w:rFonts w:eastAsiaTheme="minorEastAsia" w:cs="Times"/>
        </w:rPr>
        <w:t>.</w:t>
      </w:r>
    </w:p>
    <w:p w14:paraId="669F38BC" w14:textId="439B7480" w:rsidR="00F2322F" w:rsidRDefault="00F2322F" w:rsidP="00E24B71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 w:cs="Times"/>
          <w:u w:val="single"/>
        </w:rPr>
      </w:pPr>
      <w:r>
        <w:rPr>
          <w:rFonts w:eastAsiaTheme="minorEastAsia" w:cs="Times"/>
        </w:rPr>
        <w:t>Tali c</w:t>
      </w:r>
      <w:r w:rsidRPr="00F2322F">
        <w:rPr>
          <w:rFonts w:eastAsiaTheme="minorEastAsia" w:cs="Times"/>
        </w:rPr>
        <w:t>rit</w:t>
      </w:r>
      <w:r w:rsidR="00CF2E47">
        <w:rPr>
          <w:rFonts w:eastAsiaTheme="minorEastAsia" w:cs="Times"/>
        </w:rPr>
        <w:t xml:space="preserve">icità di genere e generazionale, non </w:t>
      </w:r>
      <w:r w:rsidRPr="00F2322F">
        <w:rPr>
          <w:rFonts w:eastAsiaTheme="minorEastAsia" w:cs="Times"/>
        </w:rPr>
        <w:t>specifiche dell'</w:t>
      </w:r>
      <w:r>
        <w:rPr>
          <w:rFonts w:eastAsiaTheme="minorEastAsia" w:cs="Times"/>
        </w:rPr>
        <w:t>E</w:t>
      </w:r>
      <w:r w:rsidRPr="00F2322F">
        <w:rPr>
          <w:rFonts w:eastAsiaTheme="minorEastAsia" w:cs="Times"/>
        </w:rPr>
        <w:t>nte</w:t>
      </w:r>
      <w:r w:rsidR="00CF2E47">
        <w:rPr>
          <w:rFonts w:eastAsiaTheme="minorEastAsia" w:cs="Times"/>
        </w:rPr>
        <w:t>,</w:t>
      </w:r>
      <w:r>
        <w:rPr>
          <w:rFonts w:eastAsiaTheme="minorEastAsia" w:cs="Times"/>
        </w:rPr>
        <w:t xml:space="preserve"> </w:t>
      </w:r>
      <w:r w:rsidR="00E644A0">
        <w:rPr>
          <w:rFonts w:eastAsiaTheme="minorEastAsia" w:cs="Times"/>
        </w:rPr>
        <w:t>mostrano la</w:t>
      </w:r>
      <w:r>
        <w:rPr>
          <w:rFonts w:eastAsiaTheme="minorEastAsia" w:cs="Times"/>
        </w:rPr>
        <w:t xml:space="preserve"> </w:t>
      </w:r>
      <w:r w:rsidR="00E644A0">
        <w:rPr>
          <w:rFonts w:eastAsiaTheme="minorEastAsia" w:cs="Times"/>
        </w:rPr>
        <w:t>necessità di</w:t>
      </w:r>
      <w:r w:rsidRPr="00F2322F">
        <w:rPr>
          <w:rFonts w:eastAsiaTheme="minorEastAsia" w:cs="Times"/>
        </w:rPr>
        <w:t xml:space="preserve"> introdurre e sostenere </w:t>
      </w:r>
      <w:r w:rsidR="00E24B71" w:rsidRPr="00F62904">
        <w:rPr>
          <w:rFonts w:eastAsiaTheme="minorEastAsia" w:cs="Times"/>
          <w:u w:val="single"/>
        </w:rPr>
        <w:t>strategie per la parità che identifichino e rimuovano le barriere strutturali che contribuiscono al fenomeno della scarsissima presenza femminile nelle posizioni apicali.</w:t>
      </w:r>
    </w:p>
    <w:p w14:paraId="199C79F0" w14:textId="77777777" w:rsidR="00E644A0" w:rsidRPr="00F62904" w:rsidRDefault="00E644A0" w:rsidP="00E24B71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 w:cs="Times"/>
          <w:u w:val="single"/>
        </w:rPr>
      </w:pPr>
    </w:p>
    <w:p w14:paraId="62E2BA1C" w14:textId="043473F3" w:rsidR="00695827" w:rsidRPr="00F2322F" w:rsidRDefault="009A1CBF" w:rsidP="00695827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 w:cs="Times"/>
        </w:rPr>
      </w:pPr>
      <w:r>
        <w:rPr>
          <w:rFonts w:eastAsiaTheme="minorEastAsia" w:cs="Times"/>
        </w:rPr>
        <w:t xml:space="preserve">Da queste premesse è nato, su proposta del CUG, il </w:t>
      </w:r>
      <w:r>
        <w:rPr>
          <w:rFonts w:eastAsia="Times New Roman"/>
        </w:rPr>
        <w:t xml:space="preserve">V </w:t>
      </w:r>
      <w:r w:rsidRPr="00D61042">
        <w:rPr>
          <w:rFonts w:eastAsia="Times New Roman"/>
        </w:rPr>
        <w:t>Piano Triennale di Azioni Positive</w:t>
      </w:r>
      <w:r>
        <w:rPr>
          <w:rFonts w:eastAsia="Times New Roman"/>
        </w:rPr>
        <w:t xml:space="preserve"> dell’INFN, approvato con delibera del Consiglio Direttivo 13685 del marzo 2015</w:t>
      </w:r>
      <w:r w:rsidR="00912EA5">
        <w:rPr>
          <w:rFonts w:eastAsia="Times New Roman"/>
        </w:rPr>
        <w:t xml:space="preserve"> (vedi sito del CUG </w:t>
      </w:r>
      <w:hyperlink r:id="rId11" w:history="1">
        <w:r w:rsidR="001D4C11" w:rsidRPr="004A65B5">
          <w:rPr>
            <w:rStyle w:val="Collegamentoipertestuale"/>
          </w:rPr>
          <w:t>https://web.infn.it/CUG/images/alfresco/Ptap/20150331_del_cd_13635.pdf</w:t>
        </w:r>
      </w:hyperlink>
      <w:r w:rsidR="001D4C11">
        <w:t xml:space="preserve"> </w:t>
      </w:r>
      <w:r w:rsidR="00912EA5">
        <w:rPr>
          <w:rFonts w:eastAsia="Times New Roman"/>
        </w:rPr>
        <w:t>)</w:t>
      </w:r>
      <w:r w:rsidR="00220323">
        <w:rPr>
          <w:rFonts w:eastAsia="Times New Roman"/>
        </w:rPr>
        <w:t>.</w:t>
      </w:r>
    </w:p>
    <w:p w14:paraId="64675C80" w14:textId="7D284536" w:rsidR="00695827" w:rsidRPr="00E644A0" w:rsidRDefault="000D2057" w:rsidP="00695827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E644A0">
        <w:rPr>
          <w:rFonts w:eastAsia="Times New Roman"/>
        </w:rPr>
        <w:t xml:space="preserve">- </w:t>
      </w:r>
      <w:r w:rsidR="00705B2C" w:rsidRPr="00E644A0">
        <w:rPr>
          <w:rFonts w:eastAsia="Times New Roman"/>
        </w:rPr>
        <w:t>Il PTAP recepisce</w:t>
      </w:r>
      <w:r w:rsidRPr="00E644A0">
        <w:rPr>
          <w:rFonts w:eastAsia="Times New Roman"/>
        </w:rPr>
        <w:t>:</w:t>
      </w:r>
    </w:p>
    <w:p w14:paraId="5AAF6C49" w14:textId="1571FDE8" w:rsidR="009A1CBF" w:rsidRPr="000D2057" w:rsidRDefault="009A1CBF" w:rsidP="000D2057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0D2057">
        <w:rPr>
          <w:rFonts w:eastAsia="Times New Roman"/>
        </w:rPr>
        <w:t>le raccomandazioni della Commissione Europea presentate nella relazione “</w:t>
      </w:r>
      <w:proofErr w:type="spellStart"/>
      <w:r w:rsidRPr="000D2057">
        <w:rPr>
          <w:rFonts w:eastAsia="Times New Roman"/>
        </w:rPr>
        <w:t>Structural</w:t>
      </w:r>
      <w:proofErr w:type="spellEnd"/>
      <w:r w:rsidRPr="000D2057">
        <w:rPr>
          <w:rFonts w:eastAsia="Times New Roman"/>
        </w:rPr>
        <w:t xml:space="preserve"> </w:t>
      </w:r>
      <w:proofErr w:type="spellStart"/>
      <w:r w:rsidRPr="000D2057">
        <w:rPr>
          <w:rFonts w:eastAsia="Times New Roman"/>
        </w:rPr>
        <w:t>change</w:t>
      </w:r>
      <w:proofErr w:type="spellEnd"/>
      <w:r w:rsidRPr="000D2057">
        <w:rPr>
          <w:rFonts w:eastAsia="Times New Roman"/>
        </w:rPr>
        <w:t xml:space="preserve"> in </w:t>
      </w:r>
      <w:proofErr w:type="spellStart"/>
      <w:r w:rsidRPr="000D2057">
        <w:rPr>
          <w:rFonts w:eastAsia="Times New Roman"/>
        </w:rPr>
        <w:t>research</w:t>
      </w:r>
      <w:proofErr w:type="spellEnd"/>
      <w:r w:rsidRPr="000D2057">
        <w:rPr>
          <w:rFonts w:eastAsia="Times New Roman"/>
        </w:rPr>
        <w:t xml:space="preserve"> </w:t>
      </w:r>
      <w:proofErr w:type="spellStart"/>
      <w:r w:rsidRPr="000D2057">
        <w:rPr>
          <w:rFonts w:eastAsia="Times New Roman"/>
        </w:rPr>
        <w:t>institutions</w:t>
      </w:r>
      <w:proofErr w:type="spellEnd"/>
      <w:r w:rsidRPr="000D2057">
        <w:rPr>
          <w:rFonts w:eastAsia="Times New Roman"/>
        </w:rPr>
        <w:t xml:space="preserve">: </w:t>
      </w:r>
      <w:proofErr w:type="spellStart"/>
      <w:r w:rsidRPr="000D2057">
        <w:rPr>
          <w:rFonts w:eastAsia="Times New Roman"/>
        </w:rPr>
        <w:t>Enhancing</w:t>
      </w:r>
      <w:proofErr w:type="spellEnd"/>
      <w:r w:rsidRPr="000D2057">
        <w:rPr>
          <w:rFonts w:eastAsia="Times New Roman"/>
        </w:rPr>
        <w:t xml:space="preserve"> </w:t>
      </w:r>
      <w:proofErr w:type="spellStart"/>
      <w:r w:rsidRPr="000D2057">
        <w:rPr>
          <w:rFonts w:eastAsia="Times New Roman"/>
        </w:rPr>
        <w:t>excellence</w:t>
      </w:r>
      <w:proofErr w:type="spellEnd"/>
      <w:r w:rsidRPr="000D2057">
        <w:rPr>
          <w:rFonts w:eastAsia="Times New Roman"/>
        </w:rPr>
        <w:t xml:space="preserve">, gender </w:t>
      </w:r>
      <w:proofErr w:type="spellStart"/>
      <w:r w:rsidRPr="000D2057">
        <w:rPr>
          <w:rFonts w:eastAsia="Times New Roman"/>
        </w:rPr>
        <w:t>equality</w:t>
      </w:r>
      <w:proofErr w:type="spellEnd"/>
      <w:r w:rsidRPr="000D2057">
        <w:rPr>
          <w:rFonts w:eastAsia="Times New Roman"/>
        </w:rPr>
        <w:t xml:space="preserve"> and </w:t>
      </w:r>
      <w:proofErr w:type="spellStart"/>
      <w:r w:rsidRPr="000D2057">
        <w:rPr>
          <w:rFonts w:eastAsia="Times New Roman"/>
        </w:rPr>
        <w:t>efficie</w:t>
      </w:r>
      <w:r w:rsidR="000D2057">
        <w:rPr>
          <w:rFonts w:eastAsia="Times New Roman"/>
        </w:rPr>
        <w:t>ncy</w:t>
      </w:r>
      <w:proofErr w:type="spellEnd"/>
      <w:r w:rsidR="000D2057">
        <w:rPr>
          <w:rFonts w:eastAsia="Times New Roman"/>
        </w:rPr>
        <w:t xml:space="preserve"> in </w:t>
      </w:r>
      <w:proofErr w:type="spellStart"/>
      <w:r w:rsidR="000D2057">
        <w:rPr>
          <w:rFonts w:eastAsia="Times New Roman"/>
        </w:rPr>
        <w:t>research</w:t>
      </w:r>
      <w:proofErr w:type="spellEnd"/>
      <w:r w:rsidR="000D2057">
        <w:rPr>
          <w:rFonts w:eastAsia="Times New Roman"/>
        </w:rPr>
        <w:t xml:space="preserve"> and </w:t>
      </w:r>
      <w:proofErr w:type="spellStart"/>
      <w:r w:rsidR="000D2057">
        <w:rPr>
          <w:rFonts w:eastAsia="Times New Roman"/>
        </w:rPr>
        <w:t>innovation</w:t>
      </w:r>
      <w:proofErr w:type="spellEnd"/>
      <w:r w:rsidR="000D2057">
        <w:rPr>
          <w:rFonts w:eastAsia="Times New Roman"/>
        </w:rPr>
        <w:t>”</w:t>
      </w:r>
    </w:p>
    <w:p w14:paraId="39BD5500" w14:textId="3DD11842" w:rsidR="00705B2C" w:rsidRPr="00F62904" w:rsidRDefault="000D2057" w:rsidP="00695827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F62904">
        <w:rPr>
          <w:rFonts w:eastAsia="Times New Roman"/>
        </w:rPr>
        <w:t xml:space="preserve">- </w:t>
      </w:r>
      <w:r w:rsidR="00E644A0">
        <w:rPr>
          <w:rFonts w:eastAsia="Times New Roman"/>
        </w:rPr>
        <w:t xml:space="preserve">Il </w:t>
      </w:r>
      <w:r w:rsidRPr="00F62904">
        <w:rPr>
          <w:rFonts w:eastAsia="Times New Roman"/>
        </w:rPr>
        <w:t xml:space="preserve">PTAP </w:t>
      </w:r>
      <w:r w:rsidR="00705B2C" w:rsidRPr="00F62904">
        <w:rPr>
          <w:rFonts w:eastAsia="Times New Roman"/>
        </w:rPr>
        <w:t>accoglie</w:t>
      </w:r>
      <w:r w:rsidRPr="00F62904">
        <w:rPr>
          <w:rFonts w:eastAsia="Times New Roman"/>
        </w:rPr>
        <w:t>:</w:t>
      </w:r>
      <w:r w:rsidR="00705B2C" w:rsidRPr="00F62904">
        <w:rPr>
          <w:rFonts w:eastAsia="Times New Roman"/>
        </w:rPr>
        <w:t xml:space="preserve"> </w:t>
      </w:r>
    </w:p>
    <w:p w14:paraId="6D8CC9E8" w14:textId="43771EE8" w:rsidR="00705B2C" w:rsidRPr="00F62904" w:rsidRDefault="00705B2C" w:rsidP="000D2057">
      <w:pPr>
        <w:pStyle w:val="Paragrafoelenco"/>
        <w:numPr>
          <w:ilvl w:val="0"/>
          <w:numId w:val="16"/>
        </w:numPr>
        <w:spacing w:after="0"/>
        <w:jc w:val="both"/>
        <w:rPr>
          <w:rFonts w:eastAsia="Times New Roman"/>
        </w:rPr>
      </w:pPr>
      <w:r w:rsidRPr="00F62904">
        <w:rPr>
          <w:rFonts w:eastAsia="Times New Roman"/>
        </w:rPr>
        <w:t xml:space="preserve">i suggerimenti della Relazione sul benessere organizzativo, la relazione di gender audit del progetto europeo </w:t>
      </w:r>
      <w:proofErr w:type="spellStart"/>
      <w:r w:rsidRPr="00F62904">
        <w:rPr>
          <w:rFonts w:eastAsia="Times New Roman"/>
        </w:rPr>
        <w:t>Genislab</w:t>
      </w:r>
      <w:proofErr w:type="spellEnd"/>
      <w:r w:rsidRPr="00F62904">
        <w:rPr>
          <w:rFonts w:eastAsia="Times New Roman"/>
        </w:rPr>
        <w:t xml:space="preserve">, e le analisi del CUG e dei CPO, come pure </w:t>
      </w:r>
      <w:proofErr w:type="gramStart"/>
      <w:r w:rsidRPr="00F62904">
        <w:rPr>
          <w:rFonts w:eastAsia="Times New Roman"/>
        </w:rPr>
        <w:t>le osservazione</w:t>
      </w:r>
      <w:proofErr w:type="gramEnd"/>
      <w:r w:rsidRPr="00F62904">
        <w:rPr>
          <w:rFonts w:eastAsia="Times New Roman"/>
        </w:rPr>
        <w:t xml:space="preserve"> del Comitato di Valutazione Internazionale, </w:t>
      </w:r>
    </w:p>
    <w:p w14:paraId="33CD301A" w14:textId="13D67B60" w:rsidR="00705B2C" w:rsidRPr="00F62904" w:rsidRDefault="000D2057" w:rsidP="009A1CBF">
      <w:pPr>
        <w:spacing w:after="0"/>
        <w:jc w:val="both"/>
        <w:rPr>
          <w:rFonts w:eastAsia="Times New Roman"/>
        </w:rPr>
      </w:pPr>
      <w:r w:rsidRPr="00F62904">
        <w:rPr>
          <w:rFonts w:eastAsia="Times New Roman"/>
        </w:rPr>
        <w:t>- Il PTAP</w:t>
      </w:r>
      <w:r w:rsidR="00705B2C" w:rsidRPr="00F62904">
        <w:rPr>
          <w:rFonts w:eastAsia="Times New Roman"/>
        </w:rPr>
        <w:t xml:space="preserve"> si propone</w:t>
      </w:r>
      <w:r w:rsidRPr="00F62904">
        <w:rPr>
          <w:rFonts w:eastAsia="Times New Roman"/>
        </w:rPr>
        <w:t>:</w:t>
      </w:r>
      <w:r w:rsidR="00705B2C" w:rsidRPr="00F62904">
        <w:rPr>
          <w:rFonts w:eastAsia="Times New Roman"/>
        </w:rPr>
        <w:t xml:space="preserve"> </w:t>
      </w:r>
    </w:p>
    <w:p w14:paraId="4937DACB" w14:textId="6A534BB8" w:rsidR="009A1CBF" w:rsidRPr="000D2057" w:rsidRDefault="00705B2C" w:rsidP="000D2057">
      <w:pPr>
        <w:pStyle w:val="Paragrafoelenco"/>
        <w:numPr>
          <w:ilvl w:val="0"/>
          <w:numId w:val="16"/>
        </w:numPr>
        <w:spacing w:after="0"/>
        <w:jc w:val="both"/>
        <w:rPr>
          <w:rFonts w:eastAsia="Times New Roman"/>
        </w:rPr>
      </w:pPr>
      <w:r w:rsidRPr="00F62904">
        <w:rPr>
          <w:rFonts w:eastAsia="Times New Roman"/>
        </w:rPr>
        <w:t>di attuare le norme del Codice di comportamento pubblici dipendenti, e le linee guida per la</w:t>
      </w:r>
      <w:r w:rsidRPr="000D2057">
        <w:rPr>
          <w:rFonts w:eastAsia="Times New Roman"/>
        </w:rPr>
        <w:t xml:space="preserve"> trasparenza e contro la corruzione dell'ANAC nell’ottica di contrastare fenomeni di cooptazione, nel rispetto delle linee guida in materia di trattamento di dati personali.</w:t>
      </w:r>
      <w:r w:rsidR="009A1CBF" w:rsidRPr="000D2057">
        <w:rPr>
          <w:rFonts w:eastAsia="Times New Roman"/>
        </w:rPr>
        <w:t xml:space="preserve"> </w:t>
      </w:r>
    </w:p>
    <w:p w14:paraId="216BAD73" w14:textId="77777777" w:rsidR="00912EA5" w:rsidRDefault="00912EA5" w:rsidP="00E24B71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 w:cs="Times"/>
        </w:rPr>
      </w:pPr>
    </w:p>
    <w:p w14:paraId="7BA7689C" w14:textId="41ECFF6E" w:rsidR="00E24B71" w:rsidRDefault="00207F0B" w:rsidP="00E24B71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 w:cs="Times"/>
        </w:rPr>
      </w:pPr>
      <w:r>
        <w:rPr>
          <w:rFonts w:eastAsiaTheme="minorEastAsia" w:cs="Times"/>
        </w:rPr>
        <w:t>Onde</w:t>
      </w:r>
      <w:r w:rsidR="00E24B71" w:rsidRPr="00E24B71">
        <w:rPr>
          <w:rFonts w:eastAsiaTheme="minorEastAsia" w:cs="Times"/>
        </w:rPr>
        <w:t xml:space="preserve"> introdurre </w:t>
      </w:r>
      <w:r>
        <w:rPr>
          <w:rFonts w:eastAsiaTheme="minorEastAsia" w:cs="Times"/>
        </w:rPr>
        <w:t xml:space="preserve">quei </w:t>
      </w:r>
      <w:r w:rsidR="00E24B71" w:rsidRPr="00E24B71">
        <w:rPr>
          <w:rFonts w:eastAsiaTheme="minorEastAsia" w:cs="Times"/>
        </w:rPr>
        <w:t>cambiamenti</w:t>
      </w:r>
      <w:r>
        <w:rPr>
          <w:rFonts w:eastAsiaTheme="minorEastAsia" w:cs="Times"/>
        </w:rPr>
        <w:t xml:space="preserve"> </w:t>
      </w:r>
      <w:r w:rsidR="00E24B71" w:rsidRPr="00E24B71">
        <w:rPr>
          <w:rFonts w:eastAsiaTheme="minorEastAsia" w:cs="Times"/>
        </w:rPr>
        <w:t xml:space="preserve">strutturali </w:t>
      </w:r>
      <w:r>
        <w:rPr>
          <w:rFonts w:eastAsiaTheme="minorEastAsia" w:cs="Times"/>
        </w:rPr>
        <w:t>necessari per rimuovere le criticità, il piano di azioni contenute nel V PTAP si propone i seguenti obiettivi:</w:t>
      </w:r>
    </w:p>
    <w:p w14:paraId="6418AB2C" w14:textId="77777777" w:rsidR="00912EA5" w:rsidRPr="00E24B71" w:rsidRDefault="00912EA5" w:rsidP="00E24B71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 w:cs="Times"/>
        </w:rPr>
      </w:pPr>
    </w:p>
    <w:p w14:paraId="20F84C7D" w14:textId="77777777" w:rsidR="00E24B71" w:rsidRPr="00E24B71" w:rsidRDefault="00E24B71" w:rsidP="00E24B71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 w:cs="Times"/>
        </w:rPr>
      </w:pPr>
      <w:r w:rsidRPr="00E24B71">
        <w:rPr>
          <w:rFonts w:eastAsiaTheme="minorEastAsia" w:cs="Times"/>
        </w:rPr>
        <w:t>1) aumentare la trasparenza dei processi decisionali e aumentare la circolazione delle informazioni;</w:t>
      </w:r>
    </w:p>
    <w:p w14:paraId="709B2CD3" w14:textId="77777777" w:rsidR="00E24B71" w:rsidRPr="00E24B71" w:rsidRDefault="00E24B71" w:rsidP="00E24B71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 w:cs="Times"/>
        </w:rPr>
      </w:pPr>
      <w:r w:rsidRPr="00E24B71">
        <w:rPr>
          <w:rFonts w:eastAsiaTheme="minorEastAsia" w:cs="Times"/>
        </w:rPr>
        <w:lastRenderedPageBreak/>
        <w:t>2) rimuovere i pregiudizi inconsapevoli dalle pratiche istituzionali;</w:t>
      </w:r>
    </w:p>
    <w:p w14:paraId="0C139D8E" w14:textId="77777777" w:rsidR="00E24B71" w:rsidRPr="00E24B71" w:rsidRDefault="00E24B71" w:rsidP="00E24B71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 w:cs="Times"/>
        </w:rPr>
      </w:pPr>
      <w:r w:rsidRPr="00E24B71">
        <w:rPr>
          <w:rFonts w:eastAsiaTheme="minorEastAsia" w:cs="Times"/>
        </w:rPr>
        <w:t>3) promuovere l'eccellenza attraverso la promozione della diversità;</w:t>
      </w:r>
    </w:p>
    <w:p w14:paraId="679010A6" w14:textId="77777777" w:rsidR="00E24B71" w:rsidRPr="00E24B71" w:rsidRDefault="00E24B71" w:rsidP="00E24B71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 w:cs="Times"/>
        </w:rPr>
      </w:pPr>
      <w:r w:rsidRPr="00E24B71">
        <w:rPr>
          <w:rFonts w:eastAsiaTheme="minorEastAsia" w:cs="Times"/>
        </w:rPr>
        <w:t>4) migliorare la ricerca attraverso l'integrazione della prospettiva di genere;</w:t>
      </w:r>
    </w:p>
    <w:p w14:paraId="095470B1" w14:textId="1CDB95C3" w:rsidR="00C71C8E" w:rsidRDefault="00E24B71" w:rsidP="00E24B71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 w:cs="Times"/>
        </w:rPr>
      </w:pPr>
      <w:r w:rsidRPr="00E24B71">
        <w:rPr>
          <w:rFonts w:eastAsiaTheme="minorEastAsia" w:cs="Times"/>
        </w:rPr>
        <w:t>5) modernizzare la gestione del personale e l'ambiente di lavoro.</w:t>
      </w:r>
    </w:p>
    <w:p w14:paraId="0773F445" w14:textId="77777777" w:rsidR="00C71C8E" w:rsidRPr="00447CDF" w:rsidRDefault="00C71C8E" w:rsidP="00334A4F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 w:cs="Times"/>
        </w:rPr>
      </w:pPr>
    </w:p>
    <w:p w14:paraId="0418F95A" w14:textId="659B0882" w:rsidR="00AD1500" w:rsidRDefault="00B33434" w:rsidP="00873027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 linea con gli obiettivi del PTAP si</w:t>
      </w:r>
      <w:r w:rsidR="00A51E70">
        <w:rPr>
          <w:rFonts w:eastAsia="Times New Roman" w:cs="Times New Roman"/>
        </w:rPr>
        <w:t xml:space="preserve"> riportano </w:t>
      </w:r>
      <w:r>
        <w:rPr>
          <w:rFonts w:eastAsia="Times New Roman" w:cs="Times New Roman"/>
        </w:rPr>
        <w:t>di seguito alcune azioni svolte</w:t>
      </w:r>
      <w:r w:rsidR="0006382C" w:rsidRPr="0006382C">
        <w:rPr>
          <w:rFonts w:eastAsia="Times New Roman" w:cs="Times New Roman"/>
        </w:rPr>
        <w:t xml:space="preserve"> </w:t>
      </w:r>
      <w:r w:rsidR="0006382C">
        <w:rPr>
          <w:rFonts w:eastAsia="Times New Roman" w:cs="Times New Roman"/>
        </w:rPr>
        <w:t>n</w:t>
      </w:r>
      <w:r w:rsidR="0006382C" w:rsidRPr="0020617E">
        <w:rPr>
          <w:rFonts w:eastAsia="Times New Roman" w:cs="Times New Roman"/>
        </w:rPr>
        <w:t>el 2015</w:t>
      </w:r>
      <w:r w:rsidR="00AD1500">
        <w:rPr>
          <w:rFonts w:eastAsia="Times New Roman" w:cs="Times New Roman"/>
        </w:rPr>
        <w:t>.</w:t>
      </w:r>
    </w:p>
    <w:p w14:paraId="161B4E5D" w14:textId="17669E81" w:rsidR="00AD1500" w:rsidRPr="0006382C" w:rsidRDefault="0006382C" w:rsidP="00220323">
      <w:pPr>
        <w:pStyle w:val="Paragrafoelenco"/>
        <w:numPr>
          <w:ilvl w:val="0"/>
          <w:numId w:val="15"/>
        </w:numPr>
        <w:ind w:left="426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E’</w:t>
      </w:r>
      <w:r w:rsidR="00E93845" w:rsidRPr="0020617E">
        <w:rPr>
          <w:rFonts w:eastAsia="Times New Roman" w:cs="Times New Roman"/>
        </w:rPr>
        <w:t xml:space="preserve"> stato rinnovato il CUG dell’Ente.</w:t>
      </w:r>
      <w:r w:rsidR="00705B2C" w:rsidRPr="0020617E">
        <w:rPr>
          <w:rFonts w:eastAsia="Times New Roman" w:cs="Times New Roman"/>
        </w:rPr>
        <w:t xml:space="preserve"> I componenti sono stati scelti, per la prima volta nell’</w:t>
      </w:r>
      <w:r w:rsidR="0020617E" w:rsidRPr="0020617E">
        <w:rPr>
          <w:rFonts w:eastAsia="Times New Roman" w:cs="Times New Roman"/>
        </w:rPr>
        <w:t>INFN</w:t>
      </w:r>
      <w:r w:rsidR="00705B2C" w:rsidRPr="0020617E">
        <w:rPr>
          <w:rFonts w:eastAsia="Times New Roman" w:cs="Times New Roman"/>
        </w:rPr>
        <w:t>,</w:t>
      </w:r>
      <w:r w:rsidR="00450BCB" w:rsidRPr="0020617E">
        <w:rPr>
          <w:rFonts w:eastAsia="Times New Roman" w:cs="Times New Roman"/>
        </w:rPr>
        <w:t xml:space="preserve"> </w:t>
      </w:r>
      <w:r w:rsidR="00E93845" w:rsidRPr="0020617E">
        <w:rPr>
          <w:rFonts w:eastAsia="Times New Roman" w:cs="Times New Roman"/>
        </w:rPr>
        <w:t xml:space="preserve">attraverso una procedura comparativa di interpello, </w:t>
      </w:r>
      <w:r w:rsidR="0020617E" w:rsidRPr="0020617E">
        <w:rPr>
          <w:rFonts w:eastAsia="Times New Roman" w:cs="Times New Roman"/>
        </w:rPr>
        <w:t>aperta a tutto il personale</w:t>
      </w:r>
      <w:r w:rsidR="00E93845" w:rsidRPr="0020617E">
        <w:rPr>
          <w:rFonts w:eastAsia="Times New Roman" w:cs="Times New Roman"/>
        </w:rPr>
        <w:t xml:space="preserve">. </w:t>
      </w:r>
      <w:r w:rsidR="00705B2C" w:rsidRPr="0020617E">
        <w:rPr>
          <w:rFonts w:eastAsia="Times New Roman" w:cs="Times New Roman"/>
        </w:rPr>
        <w:t>Si auspica, come richiesto nello stesso PTAP, che tale procedura venga applicata anche per altri Comitati e/o Commissioni in un’ottica di maggior</w:t>
      </w:r>
      <w:r w:rsidR="00450BCB" w:rsidRPr="0020617E">
        <w:rPr>
          <w:rFonts w:eastAsia="Times New Roman" w:cs="Times New Roman"/>
        </w:rPr>
        <w:t xml:space="preserve"> trasparenza </w:t>
      </w:r>
      <w:r w:rsidR="00705B2C" w:rsidRPr="0020617E">
        <w:rPr>
          <w:rFonts w:eastAsia="Times New Roman" w:cs="Times New Roman"/>
        </w:rPr>
        <w:t xml:space="preserve">dei processi decisionali </w:t>
      </w:r>
      <w:r w:rsidR="00450BCB" w:rsidRPr="0020617E">
        <w:rPr>
          <w:rFonts w:eastAsia="Times New Roman" w:cs="Times New Roman"/>
        </w:rPr>
        <w:t xml:space="preserve">e </w:t>
      </w:r>
      <w:r w:rsidR="00705B2C" w:rsidRPr="0020617E">
        <w:rPr>
          <w:rFonts w:eastAsia="Times New Roman" w:cs="Times New Roman"/>
        </w:rPr>
        <w:t>di</w:t>
      </w:r>
      <w:r w:rsidR="00450BCB" w:rsidRPr="0020617E">
        <w:rPr>
          <w:rFonts w:eastAsia="Times New Roman" w:cs="Times New Roman"/>
        </w:rPr>
        <w:t xml:space="preserve"> valorizzazione</w:t>
      </w:r>
      <w:r>
        <w:rPr>
          <w:rFonts w:eastAsia="Times New Roman" w:cs="Times New Roman"/>
        </w:rPr>
        <w:t xml:space="preserve"> del personale (</w:t>
      </w:r>
      <w:r w:rsidRPr="0006382C">
        <w:rPr>
          <w:rFonts w:eastAsia="Times New Roman" w:cs="Times New Roman"/>
          <w:sz w:val="20"/>
          <w:szCs w:val="20"/>
        </w:rPr>
        <w:t>vedi PTAP Obiettivo specifico 2.2 - Aumentare la trasparenza nelle procedure di affidamento degli incarichi e, per quanto possibile, facilitare la rotazione degli incarichi in sintonia con il D.P.R. n. 62 del 2013, art. 13, comma 6</w:t>
      </w:r>
      <w:r>
        <w:rPr>
          <w:rFonts w:eastAsia="Times New Roman" w:cs="Times New Roman"/>
        </w:rPr>
        <w:t>)</w:t>
      </w:r>
      <w:r w:rsidR="00415381">
        <w:rPr>
          <w:rFonts w:eastAsia="Times New Roman" w:cs="Times New Roman"/>
        </w:rPr>
        <w:t>.</w:t>
      </w:r>
    </w:p>
    <w:p w14:paraId="5F14AB06" w14:textId="3A9237E0" w:rsidR="001162FB" w:rsidRPr="0006382C" w:rsidRDefault="001162FB" w:rsidP="00220323">
      <w:pPr>
        <w:pStyle w:val="Paragrafoelenco"/>
        <w:numPr>
          <w:ilvl w:val="0"/>
          <w:numId w:val="15"/>
        </w:numPr>
        <w:ind w:left="426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Un’</w:t>
      </w:r>
      <w:r w:rsidR="00A51E70" w:rsidRPr="0020617E">
        <w:rPr>
          <w:rFonts w:eastAsia="Times New Roman" w:cs="Times New Roman"/>
        </w:rPr>
        <w:t xml:space="preserve">analisi </w:t>
      </w:r>
      <w:r w:rsidR="00AD1500" w:rsidRPr="0020617E">
        <w:rPr>
          <w:rFonts w:eastAsia="Times New Roman" w:cs="Times New Roman"/>
        </w:rPr>
        <w:t>condotta dal CUG, relativa alle rappresentanze di genere all’interno dei Comitati e delle Commissioni INFN non elettiv</w:t>
      </w:r>
      <w:r w:rsidR="00A51E70" w:rsidRPr="0020617E">
        <w:rPr>
          <w:rFonts w:eastAsia="Times New Roman" w:cs="Times New Roman"/>
        </w:rPr>
        <w:t>i</w:t>
      </w:r>
      <w:r w:rsidR="00AD1500" w:rsidRPr="0020617E">
        <w:rPr>
          <w:rFonts w:eastAsia="Times New Roman" w:cs="Times New Roman"/>
        </w:rPr>
        <w:t>, ha mostrato come vi siano organismi fortemente squilibrati a favore di persone di sesso maschile</w:t>
      </w:r>
      <w:r>
        <w:rPr>
          <w:rFonts w:eastAsia="Times New Roman" w:cs="Times New Roman"/>
        </w:rPr>
        <w:t>: su 20 Commissioni in 4 non vi sono donne, in 11 la percentuale di donne è minore del 30</w:t>
      </w:r>
      <w:proofErr w:type="gramStart"/>
      <w:r>
        <w:rPr>
          <w:rFonts w:eastAsia="Times New Roman" w:cs="Times New Roman"/>
        </w:rPr>
        <w:t>% ,</w:t>
      </w:r>
      <w:proofErr w:type="gramEnd"/>
      <w:r>
        <w:rPr>
          <w:rFonts w:eastAsia="Times New Roman" w:cs="Times New Roman"/>
        </w:rPr>
        <w:t xml:space="preserve"> in 2 è  al di sotto del 50% e solo in due è  superiore</w:t>
      </w:r>
      <w:r w:rsidR="0006382C">
        <w:rPr>
          <w:rFonts w:eastAsia="Times New Roman" w:cs="Times New Roman"/>
        </w:rPr>
        <w:t xml:space="preserve"> (</w:t>
      </w:r>
      <w:r w:rsidR="0006382C" w:rsidRPr="0006382C">
        <w:rPr>
          <w:rFonts w:eastAsia="Times New Roman" w:cs="Times New Roman"/>
          <w:sz w:val="20"/>
          <w:szCs w:val="20"/>
        </w:rPr>
        <w:t xml:space="preserve">vedi PTAP Obiettivo specifico 3.2 </w:t>
      </w:r>
      <w:r w:rsidR="0006382C">
        <w:rPr>
          <w:rFonts w:eastAsia="Times New Roman" w:cs="Times New Roman"/>
          <w:sz w:val="20"/>
          <w:szCs w:val="20"/>
        </w:rPr>
        <w:t xml:space="preserve">- </w:t>
      </w:r>
      <w:r w:rsidR="0006382C" w:rsidRPr="0006382C">
        <w:rPr>
          <w:rFonts w:eastAsia="Times New Roman" w:cs="Times New Roman"/>
          <w:sz w:val="20"/>
          <w:szCs w:val="20"/>
        </w:rPr>
        <w:t>La diversità di genere nelle commissioni ne migliora il funzionamento. Al momento la parità di genere è prevista per il solo CUG</w:t>
      </w:r>
      <w:r w:rsidR="0006382C">
        <w:rPr>
          <w:rFonts w:eastAsia="Times New Roman" w:cs="Times New Roman"/>
          <w:sz w:val="20"/>
          <w:szCs w:val="20"/>
        </w:rPr>
        <w:t>)</w:t>
      </w:r>
      <w:r w:rsidR="00415381">
        <w:rPr>
          <w:rFonts w:eastAsia="Times New Roman" w:cs="Times New Roman"/>
          <w:sz w:val="20"/>
          <w:szCs w:val="20"/>
        </w:rPr>
        <w:t>.</w:t>
      </w:r>
    </w:p>
    <w:p w14:paraId="35A58C9E" w14:textId="1F337CE9" w:rsidR="00447CDF" w:rsidRPr="0006382C" w:rsidRDefault="0006382C" w:rsidP="00220323">
      <w:pPr>
        <w:pStyle w:val="Paragrafoelenco"/>
        <w:numPr>
          <w:ilvl w:val="0"/>
          <w:numId w:val="15"/>
        </w:numPr>
        <w:ind w:left="426" w:hanging="284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>E’ stato parzialmente introdotto i</w:t>
      </w:r>
      <w:r w:rsidR="00401E21">
        <w:rPr>
          <w:rFonts w:eastAsia="Times New Roman" w:cs="Times New Roman"/>
        </w:rPr>
        <w:t xml:space="preserve">l Codice Minerva nei bandi </w:t>
      </w:r>
      <w:r>
        <w:rPr>
          <w:rFonts w:eastAsia="Times New Roman" w:cs="Times New Roman"/>
        </w:rPr>
        <w:t xml:space="preserve">di concorso </w:t>
      </w:r>
      <w:r w:rsidR="00401E21">
        <w:rPr>
          <w:rFonts w:eastAsia="Times New Roman" w:cs="Times New Roman"/>
        </w:rPr>
        <w:t>per qu</w:t>
      </w:r>
      <w:r>
        <w:rPr>
          <w:rFonts w:eastAsia="Times New Roman" w:cs="Times New Roman"/>
        </w:rPr>
        <w:t>anto riguarda la pubblicazione dei</w:t>
      </w:r>
      <w:r w:rsidR="00401E21">
        <w:rPr>
          <w:rFonts w:eastAsia="Times New Roman" w:cs="Times New Roman"/>
        </w:rPr>
        <w:t xml:space="preserve"> curriculum dei commissari e la definizione </w:t>
      </w:r>
      <w:r>
        <w:rPr>
          <w:rFonts w:eastAsia="Times New Roman" w:cs="Times New Roman"/>
        </w:rPr>
        <w:t>trasparente e non modificabile</w:t>
      </w:r>
      <w:r w:rsidR="00401E21">
        <w:rPr>
          <w:rFonts w:eastAsia="Times New Roman" w:cs="Times New Roman"/>
        </w:rPr>
        <w:t xml:space="preserve"> dei criteri di valutazione</w:t>
      </w:r>
      <w:r>
        <w:rPr>
          <w:rFonts w:eastAsia="Times New Roman" w:cs="Times New Roman"/>
        </w:rPr>
        <w:t xml:space="preserve"> (</w:t>
      </w:r>
      <w:r w:rsidRPr="0006382C">
        <w:rPr>
          <w:rFonts w:eastAsia="Times New Roman" w:cs="Times New Roman"/>
          <w:sz w:val="20"/>
          <w:szCs w:val="20"/>
        </w:rPr>
        <w:t>vedi PTAP Obiettivo specifico 2.1 Aumentare la trasparenza e</w:t>
      </w:r>
      <w:r>
        <w:rPr>
          <w:rFonts w:eastAsia="Times New Roman" w:cs="Times New Roman"/>
          <w:sz w:val="20"/>
          <w:szCs w:val="20"/>
        </w:rPr>
        <w:t xml:space="preserve"> </w:t>
      </w:r>
      <w:r w:rsidRPr="0006382C">
        <w:rPr>
          <w:rFonts w:eastAsia="Times New Roman" w:cs="Times New Roman"/>
          <w:sz w:val="20"/>
          <w:szCs w:val="20"/>
        </w:rPr>
        <w:t>rimuovere i pregiudizi</w:t>
      </w:r>
      <w:r>
        <w:rPr>
          <w:rFonts w:eastAsia="Times New Roman" w:cs="Times New Roman"/>
          <w:sz w:val="20"/>
          <w:szCs w:val="20"/>
        </w:rPr>
        <w:t xml:space="preserve"> </w:t>
      </w:r>
      <w:r w:rsidRPr="0006382C">
        <w:rPr>
          <w:rFonts w:eastAsia="Times New Roman" w:cs="Times New Roman"/>
          <w:sz w:val="20"/>
          <w:szCs w:val="20"/>
        </w:rPr>
        <w:t>inconsapevoli nelle procedure</w:t>
      </w:r>
      <w:r>
        <w:rPr>
          <w:rFonts w:eastAsia="Times New Roman" w:cs="Times New Roman"/>
          <w:sz w:val="20"/>
          <w:szCs w:val="20"/>
        </w:rPr>
        <w:t xml:space="preserve"> </w:t>
      </w:r>
      <w:r w:rsidR="00415381">
        <w:rPr>
          <w:rFonts w:eastAsia="Times New Roman" w:cs="Times New Roman"/>
          <w:sz w:val="20"/>
          <w:szCs w:val="20"/>
        </w:rPr>
        <w:t>di concorso</w:t>
      </w:r>
      <w:r w:rsidRPr="0006382C">
        <w:rPr>
          <w:rFonts w:eastAsia="Times New Roman" w:cs="Times New Roman"/>
          <w:sz w:val="20"/>
          <w:szCs w:val="20"/>
        </w:rPr>
        <w:t>)</w:t>
      </w:r>
      <w:r w:rsidR="00415381">
        <w:rPr>
          <w:rFonts w:eastAsia="Times New Roman" w:cs="Times New Roman"/>
          <w:sz w:val="20"/>
          <w:szCs w:val="20"/>
        </w:rPr>
        <w:t>.</w:t>
      </w:r>
    </w:p>
    <w:p w14:paraId="7B6E2720" w14:textId="51496B1C" w:rsidR="001162FB" w:rsidRPr="008234B2" w:rsidRDefault="001162FB" w:rsidP="008234B2">
      <w:pPr>
        <w:pStyle w:val="Paragrafoelenco"/>
        <w:numPr>
          <w:ilvl w:val="0"/>
          <w:numId w:val="15"/>
        </w:numPr>
        <w:ind w:left="426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È stato approvato il disciplinare del telelavoro</w:t>
      </w:r>
      <w:r w:rsidR="00341066">
        <w:rPr>
          <w:rFonts w:eastAsia="Times New Roman" w:cs="Times New Roman"/>
        </w:rPr>
        <w:t xml:space="preserve"> (delibera CD </w:t>
      </w:r>
      <w:r w:rsidR="00341066" w:rsidRPr="00341066">
        <w:rPr>
          <w:rFonts w:eastAsia="Times New Roman" w:cs="Times New Roman"/>
        </w:rPr>
        <w:t>N. 13734</w:t>
      </w:r>
      <w:r w:rsidR="00341066">
        <w:rPr>
          <w:rFonts w:eastAsia="Times New Roman" w:cs="Times New Roman"/>
        </w:rPr>
        <w:t>)</w:t>
      </w:r>
      <w:r w:rsidRPr="00341066">
        <w:rPr>
          <w:rFonts w:eastAsia="Times New Roman" w:cs="Times New Roman"/>
        </w:rPr>
        <w:t xml:space="preserve">.  </w:t>
      </w:r>
      <w:r w:rsidR="003E4FC0">
        <w:rPr>
          <w:rFonts w:eastAsia="Times New Roman" w:cs="Times New Roman"/>
        </w:rPr>
        <w:t xml:space="preserve">L’approvazione di questo disciplinare è stata una conquista per il personale dipendente. Restano però ancora vari punti di miglioramento e apertura, su cui il CUG aveva lavorato e fatto proposte anche sulla base </w:t>
      </w:r>
      <w:r w:rsidR="0015684D">
        <w:rPr>
          <w:rFonts w:eastAsia="Times New Roman" w:cs="Times New Roman"/>
        </w:rPr>
        <w:t xml:space="preserve">del disciplinare INAIL , come sulla maggiore flessibilità dello strumento telelavoro, articolato per far fronte a problematiche durature e/o imprevedibili ed eccezionali, una maggiore attenzione alla cura dei familiari e del </w:t>
      </w:r>
      <w:r w:rsidR="008234B2">
        <w:rPr>
          <w:rFonts w:eastAsia="Times New Roman" w:cs="Times New Roman"/>
        </w:rPr>
        <w:t>personale dipendente</w:t>
      </w:r>
      <w:r w:rsidR="0015684D">
        <w:rPr>
          <w:rFonts w:eastAsia="Times New Roman" w:cs="Times New Roman"/>
        </w:rPr>
        <w:t xml:space="preserve"> </w:t>
      </w:r>
      <w:r w:rsidR="008234B2">
        <w:rPr>
          <w:rFonts w:eastAsia="Times New Roman" w:cs="Times New Roman"/>
        </w:rPr>
        <w:t xml:space="preserve">stesso </w:t>
      </w:r>
      <w:r w:rsidR="0015684D">
        <w:rPr>
          <w:rFonts w:eastAsia="Times New Roman" w:cs="Times New Roman"/>
        </w:rPr>
        <w:t xml:space="preserve">e quindi peso </w:t>
      </w:r>
      <w:r w:rsidR="008234B2">
        <w:rPr>
          <w:rFonts w:eastAsia="Times New Roman" w:cs="Times New Roman"/>
        </w:rPr>
        <w:t xml:space="preserve">maggiore </w:t>
      </w:r>
      <w:r w:rsidR="0015684D">
        <w:rPr>
          <w:rFonts w:eastAsia="Times New Roman" w:cs="Times New Roman"/>
        </w:rPr>
        <w:t>nell’assegnazione</w:t>
      </w:r>
      <w:r w:rsidR="008234B2">
        <w:rPr>
          <w:rFonts w:eastAsia="Times New Roman" w:cs="Times New Roman"/>
        </w:rPr>
        <w:t xml:space="preserve"> dei punteggi</w:t>
      </w:r>
      <w:r w:rsidR="0015684D">
        <w:rPr>
          <w:rFonts w:eastAsia="Times New Roman" w:cs="Times New Roman"/>
        </w:rPr>
        <w:t xml:space="preserve"> rispetto alla </w:t>
      </w:r>
      <w:r w:rsidR="008234B2">
        <w:rPr>
          <w:rFonts w:eastAsia="Times New Roman" w:cs="Times New Roman"/>
        </w:rPr>
        <w:t>voce “</w:t>
      </w:r>
      <w:r w:rsidR="0015684D">
        <w:rPr>
          <w:rFonts w:eastAsia="Times New Roman" w:cs="Times New Roman"/>
        </w:rPr>
        <w:t>distanza casa-lavoro</w:t>
      </w:r>
      <w:r w:rsidR="008234B2">
        <w:rPr>
          <w:rFonts w:eastAsia="Times New Roman" w:cs="Times New Roman"/>
        </w:rPr>
        <w:t>”</w:t>
      </w:r>
      <w:r w:rsidR="0015684D">
        <w:rPr>
          <w:rFonts w:eastAsia="Times New Roman" w:cs="Times New Roman"/>
        </w:rPr>
        <w:t xml:space="preserve">, </w:t>
      </w:r>
      <w:r w:rsidR="00170D17">
        <w:rPr>
          <w:rFonts w:eastAsia="Times New Roman" w:cs="Times New Roman"/>
        </w:rPr>
        <w:t>la possibilità dello scorrimento delle graduatorie per consentire ulteriori assegnazioni di posizioni in corso d’anno.</w:t>
      </w:r>
      <w:r w:rsidR="008234B2" w:rsidRPr="008234B2">
        <w:t xml:space="preserve"> </w:t>
      </w:r>
      <w:r w:rsidR="008234B2">
        <w:rPr>
          <w:rFonts w:eastAsia="Times New Roman" w:cs="Times New Roman"/>
        </w:rPr>
        <w:t>(</w:t>
      </w:r>
      <w:r w:rsidR="008234B2" w:rsidRPr="008234B2">
        <w:rPr>
          <w:rFonts w:eastAsia="Times New Roman" w:cs="Times New Roman"/>
          <w:sz w:val="20"/>
          <w:szCs w:val="20"/>
        </w:rPr>
        <w:t xml:space="preserve">vedi PTAP Obiettivo specifico 5.1 </w:t>
      </w:r>
      <w:r w:rsidR="008234B2">
        <w:rPr>
          <w:rFonts w:eastAsia="Times New Roman" w:cs="Times New Roman"/>
          <w:sz w:val="20"/>
          <w:szCs w:val="20"/>
        </w:rPr>
        <w:t xml:space="preserve">- </w:t>
      </w:r>
      <w:r w:rsidR="008234B2" w:rsidRPr="008234B2">
        <w:rPr>
          <w:rFonts w:eastAsia="Times New Roman" w:cs="Times New Roman"/>
          <w:sz w:val="20"/>
          <w:szCs w:val="20"/>
        </w:rPr>
        <w:t>Migliorare la conciliazione tra vita lavorativa e privata</w:t>
      </w:r>
      <w:r w:rsidR="008234B2">
        <w:rPr>
          <w:rFonts w:eastAsia="Times New Roman" w:cs="Times New Roman"/>
        </w:rPr>
        <w:t>).</w:t>
      </w:r>
    </w:p>
    <w:p w14:paraId="21E17E04" w14:textId="2385552B" w:rsidR="00D34624" w:rsidRPr="008E1F6C" w:rsidRDefault="00D34624" w:rsidP="0080279C">
      <w:pPr>
        <w:jc w:val="both"/>
        <w:rPr>
          <w:rFonts w:eastAsia="Times New Roman" w:cs="Times New Roman"/>
          <w:u w:val="single"/>
        </w:rPr>
      </w:pPr>
      <w:r w:rsidRPr="008E1F6C">
        <w:rPr>
          <w:rFonts w:eastAsia="Times New Roman" w:cs="Times New Roman"/>
          <w:u w:val="single"/>
        </w:rPr>
        <w:t>Si conclude questa sezione, con una valutazione sul Benessere Organizzativo</w:t>
      </w:r>
      <w:r w:rsidR="008E1F6C">
        <w:rPr>
          <w:rFonts w:eastAsia="Times New Roman" w:cs="Times New Roman"/>
          <w:u w:val="single"/>
        </w:rPr>
        <w:t xml:space="preserve"> e le attività connesse</w:t>
      </w:r>
      <w:r w:rsidRPr="008E1F6C">
        <w:rPr>
          <w:rFonts w:eastAsia="Times New Roman" w:cs="Times New Roman"/>
          <w:u w:val="single"/>
        </w:rPr>
        <w:t>.</w:t>
      </w:r>
    </w:p>
    <w:p w14:paraId="6EEE6C5C" w14:textId="19A46C57" w:rsidR="008234B2" w:rsidRDefault="00D34624" w:rsidP="008234B2">
      <w:pPr>
        <w:pStyle w:val="Paragrafoelenco"/>
        <w:ind w:left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</w:t>
      </w:r>
      <w:r w:rsidR="0080279C">
        <w:rPr>
          <w:rFonts w:eastAsia="Times New Roman" w:cs="Times New Roman"/>
        </w:rPr>
        <w:t xml:space="preserve"> valle dell’analisi del Benessere Organizzativo nell’Ente, condotta dalla Consigliera di Fiducia attraverso il questionario Magellano</w:t>
      </w:r>
      <w:r w:rsidR="008234B2">
        <w:rPr>
          <w:rFonts w:eastAsia="Times New Roman" w:cs="Times New Roman"/>
        </w:rPr>
        <w:t xml:space="preserve"> e delle criticità emerse fra il personale (vedi Report</w:t>
      </w:r>
    </w:p>
    <w:p w14:paraId="020BEA24" w14:textId="2DCA92E5" w:rsidR="0080279C" w:rsidRPr="001D4C11" w:rsidRDefault="00DE10CA" w:rsidP="008234B2">
      <w:pPr>
        <w:pStyle w:val="Paragrafoelenco"/>
        <w:ind w:left="0"/>
        <w:jc w:val="both"/>
        <w:rPr>
          <w:rFonts w:eastAsia="Times New Roman" w:cs="Times New Roman"/>
        </w:rPr>
      </w:pPr>
      <w:hyperlink r:id="rId12" w:history="1">
        <w:r w:rsidR="001D4C11" w:rsidRPr="004A65B5">
          <w:rPr>
            <w:rStyle w:val="Collegamentoipertestuale"/>
            <w:rFonts w:eastAsia="Times New Roman" w:cs="Times New Roman"/>
          </w:rPr>
          <w:t>https://web.infn.it/CUG/images/alfresco/Consigliera/2014BenessereOrganizzativo.pdf</w:t>
        </w:r>
      </w:hyperlink>
      <w:r w:rsidR="001D4C11">
        <w:rPr>
          <w:rFonts w:eastAsia="Times New Roman" w:cs="Times New Roman"/>
        </w:rPr>
        <w:t xml:space="preserve"> </w:t>
      </w:r>
      <w:r w:rsidR="008234B2">
        <w:rPr>
          <w:bCs/>
        </w:rPr>
        <w:t>)</w:t>
      </w:r>
      <w:r w:rsidR="0080279C">
        <w:rPr>
          <w:rFonts w:eastAsia="Times New Roman" w:cs="Times New Roman"/>
        </w:rPr>
        <w:t>, nel 2015 è stato approvato un progetto pilota, proposto dalla stessa Consigliera e sostenuto dal CUG, per la sperimentazione in quattro strutture INFN di un percorso di attivazione di circoli di ascolto</w:t>
      </w:r>
      <w:r w:rsidR="008E1F6C">
        <w:rPr>
          <w:rFonts w:eastAsia="Times New Roman" w:cs="Times New Roman"/>
        </w:rPr>
        <w:t xml:space="preserve"> </w:t>
      </w:r>
      <w:r w:rsidR="008E1F6C" w:rsidRPr="008E1F6C">
        <w:rPr>
          <w:rFonts w:eastAsia="Times New Roman" w:cs="Times New Roman"/>
        </w:rPr>
        <w:t xml:space="preserve">organizzativi con il fine di intercettare e risolvere i disagi e le criticità organizzative, evidenziati anche </w:t>
      </w:r>
      <w:r w:rsidR="008E1F6C">
        <w:rPr>
          <w:rFonts w:eastAsia="Times New Roman" w:cs="Times New Roman"/>
        </w:rPr>
        <w:t>dal</w:t>
      </w:r>
      <w:r w:rsidR="008E1F6C" w:rsidRPr="008E1F6C">
        <w:rPr>
          <w:rFonts w:eastAsia="Times New Roman" w:cs="Times New Roman"/>
        </w:rPr>
        <w:t xml:space="preserve"> progetto Magellano, che si ripercuotono sul benessere lavorativo, elaborandoli secondo un percorso strutturato con int</w:t>
      </w:r>
      <w:r w:rsidR="008E1F6C">
        <w:rPr>
          <w:rFonts w:eastAsia="Times New Roman" w:cs="Times New Roman"/>
        </w:rPr>
        <w:t>erventi locali di miglioramento</w:t>
      </w:r>
      <w:r w:rsidR="0080279C">
        <w:rPr>
          <w:rFonts w:eastAsia="Times New Roman" w:cs="Times New Roman"/>
        </w:rPr>
        <w:t xml:space="preserve">. Il progetto, che includeva anche una fase di formazione per le figure dei facilitatori dei circoli, si è concluso a fine 2015. Nel 2016 </w:t>
      </w:r>
      <w:r w:rsidR="00C100B9">
        <w:rPr>
          <w:rFonts w:eastAsia="Times New Roman" w:cs="Times New Roman"/>
        </w:rPr>
        <w:t>sar</w:t>
      </w:r>
      <w:r w:rsidR="0080279C">
        <w:rPr>
          <w:rFonts w:eastAsia="Times New Roman" w:cs="Times New Roman"/>
        </w:rPr>
        <w:t xml:space="preserve">à presentata dalla Consigliera uscente un’analisi dei risultati ottenuti onde capire l’efficacia del metodo e l’eventuale estensione alle altre strutture dell’Ente. </w:t>
      </w:r>
    </w:p>
    <w:p w14:paraId="3132B9BA" w14:textId="7CF755FF" w:rsidR="0080279C" w:rsidRPr="008E1F6C" w:rsidRDefault="008E1F6C" w:rsidP="00066C9D">
      <w:pPr>
        <w:jc w:val="both"/>
        <w:rPr>
          <w:rFonts w:eastAsia="Times New Roman" w:cs="Times New Roman"/>
        </w:rPr>
      </w:pPr>
      <w:r w:rsidRPr="00CA6DBC">
        <w:rPr>
          <w:rFonts w:eastAsia="Times New Roman" w:cs="Times New Roman"/>
        </w:rPr>
        <w:lastRenderedPageBreak/>
        <w:t xml:space="preserve">Va evidenziato </w:t>
      </w:r>
      <w:r>
        <w:rPr>
          <w:rFonts w:eastAsia="Times New Roman" w:cs="Times New Roman"/>
        </w:rPr>
        <w:t>che nell’Ente r</w:t>
      </w:r>
      <w:r w:rsidR="001162FB">
        <w:rPr>
          <w:rFonts w:eastAsia="Times New Roman" w:cs="Times New Roman"/>
        </w:rPr>
        <w:t xml:space="preserve">isulta ancora non ben correlato il lavoro della Consigliera di Fiducia e quello del CUG con quello della Commissione Formazione per quanto riguarda </w:t>
      </w:r>
      <w:r>
        <w:rPr>
          <w:rFonts w:eastAsia="Times New Roman" w:cs="Times New Roman"/>
        </w:rPr>
        <w:t>la formulazione e la proposta di azioni volte</w:t>
      </w:r>
      <w:r w:rsidR="001162F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al </w:t>
      </w:r>
      <w:r w:rsidR="001162FB">
        <w:rPr>
          <w:rFonts w:eastAsia="Times New Roman" w:cs="Times New Roman"/>
        </w:rPr>
        <w:t>Benessere</w:t>
      </w:r>
      <w:r>
        <w:rPr>
          <w:rFonts w:eastAsia="Times New Roman" w:cs="Times New Roman"/>
        </w:rPr>
        <w:t xml:space="preserve"> Organizzativo, attraverso la </w:t>
      </w:r>
      <w:r w:rsidRPr="00CA6DBC">
        <w:rPr>
          <w:rFonts w:eastAsia="Times New Roman" w:cs="Times New Roman"/>
        </w:rPr>
        <w:t xml:space="preserve">partecipazione diretta e </w:t>
      </w:r>
      <w:r>
        <w:rPr>
          <w:rFonts w:eastAsia="Times New Roman" w:cs="Times New Roman"/>
        </w:rPr>
        <w:t xml:space="preserve">la </w:t>
      </w:r>
      <w:r w:rsidRPr="00CA6DBC">
        <w:rPr>
          <w:rFonts w:eastAsia="Times New Roman" w:cs="Times New Roman"/>
        </w:rPr>
        <w:t>responsabilizzazione del personale</w:t>
      </w:r>
      <w:r>
        <w:rPr>
          <w:rFonts w:eastAsia="Times New Roman" w:cs="Times New Roman"/>
        </w:rPr>
        <w:t xml:space="preserve"> e la</w:t>
      </w:r>
      <w:r w:rsidRPr="00CA6DBC">
        <w:rPr>
          <w:rFonts w:eastAsia="Times New Roman" w:cs="Times New Roman"/>
        </w:rPr>
        <w:t xml:space="preserve"> sperimentazione di una metodologia di </w:t>
      </w:r>
      <w:proofErr w:type="spellStart"/>
      <w:r w:rsidRPr="00CA6DBC">
        <w:rPr>
          <w:rFonts w:eastAsia="Times New Roman" w:cs="Times New Roman"/>
        </w:rPr>
        <w:t>problem</w:t>
      </w:r>
      <w:proofErr w:type="spellEnd"/>
      <w:r w:rsidRPr="00CA6DBC">
        <w:rPr>
          <w:rFonts w:eastAsia="Times New Roman" w:cs="Times New Roman"/>
        </w:rPr>
        <w:t xml:space="preserve"> </w:t>
      </w:r>
      <w:proofErr w:type="spellStart"/>
      <w:r w:rsidRPr="00CA6DBC">
        <w:rPr>
          <w:rFonts w:eastAsia="Times New Roman" w:cs="Times New Roman"/>
        </w:rPr>
        <w:t>solving</w:t>
      </w:r>
      <w:proofErr w:type="spellEnd"/>
      <w:r w:rsidR="001162FB">
        <w:rPr>
          <w:rFonts w:eastAsia="Times New Roman" w:cs="Times New Roman"/>
        </w:rPr>
        <w:t>. In questa direzione occorre concentrare maggiori sforzi raccordandosi anche con le</w:t>
      </w:r>
      <w:r w:rsidR="00D30D20">
        <w:rPr>
          <w:rFonts w:eastAsia="Times New Roman" w:cs="Times New Roman"/>
        </w:rPr>
        <w:t xml:space="preserve"> assemblee dei rappresentanti e</w:t>
      </w:r>
      <w:r w:rsidR="001162FB">
        <w:rPr>
          <w:rFonts w:eastAsia="Times New Roman" w:cs="Times New Roman"/>
        </w:rPr>
        <w:t xml:space="preserve"> il gruppo dei </w:t>
      </w:r>
      <w:r>
        <w:rPr>
          <w:rFonts w:eastAsia="Times New Roman" w:cs="Times New Roman"/>
        </w:rPr>
        <w:t xml:space="preserve">Rappresentanti delle Sicurezze. </w:t>
      </w:r>
    </w:p>
    <w:sectPr w:rsidR="0080279C" w:rsidRPr="008E1F6C" w:rsidSect="00AC3AF3"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2E89C" w14:textId="77777777" w:rsidR="00DE10CA" w:rsidRDefault="00DE10CA" w:rsidP="00667091">
      <w:pPr>
        <w:spacing w:after="0" w:line="240" w:lineRule="auto"/>
      </w:pPr>
      <w:r>
        <w:separator/>
      </w:r>
    </w:p>
  </w:endnote>
  <w:endnote w:type="continuationSeparator" w:id="0">
    <w:p w14:paraId="77FD606A" w14:textId="77777777" w:rsidR="00DE10CA" w:rsidRDefault="00DE10CA" w:rsidP="0066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panose1 w:val="020B0604020202020204"/>
    <w:charset w:val="00"/>
    <w:family w:val="auto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Serif">
    <w:altName w:val="Calibri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136F8" w14:textId="77777777" w:rsidR="00DE10CA" w:rsidRDefault="00DE10CA" w:rsidP="00667091">
      <w:pPr>
        <w:spacing w:after="0" w:line="240" w:lineRule="auto"/>
      </w:pPr>
      <w:r>
        <w:separator/>
      </w:r>
    </w:p>
  </w:footnote>
  <w:footnote w:type="continuationSeparator" w:id="0">
    <w:p w14:paraId="3F8D0279" w14:textId="77777777" w:rsidR="00DE10CA" w:rsidRDefault="00DE10CA" w:rsidP="00667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2970825"/>
    <w:multiLevelType w:val="hybridMultilevel"/>
    <w:tmpl w:val="97D0B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922BA"/>
    <w:multiLevelType w:val="hybridMultilevel"/>
    <w:tmpl w:val="D112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F5FC7"/>
    <w:multiLevelType w:val="hybridMultilevel"/>
    <w:tmpl w:val="65222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F1208"/>
    <w:multiLevelType w:val="hybridMultilevel"/>
    <w:tmpl w:val="752ECD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F551AE"/>
    <w:multiLevelType w:val="hybridMultilevel"/>
    <w:tmpl w:val="A8683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20F16"/>
    <w:multiLevelType w:val="multilevel"/>
    <w:tmpl w:val="B2C0F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218240EC"/>
    <w:multiLevelType w:val="hybridMultilevel"/>
    <w:tmpl w:val="A9CEEA8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55B2969"/>
    <w:multiLevelType w:val="hybridMultilevel"/>
    <w:tmpl w:val="95D6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C4096"/>
    <w:multiLevelType w:val="hybridMultilevel"/>
    <w:tmpl w:val="D5D4A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237EC"/>
    <w:multiLevelType w:val="hybridMultilevel"/>
    <w:tmpl w:val="27787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34D28"/>
    <w:multiLevelType w:val="hybridMultilevel"/>
    <w:tmpl w:val="FA4E4F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F6465"/>
    <w:multiLevelType w:val="hybridMultilevel"/>
    <w:tmpl w:val="BA6649E0"/>
    <w:lvl w:ilvl="0" w:tplc="63BCC200">
      <w:start w:val="2"/>
      <w:numFmt w:val="upperLetter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2D86497"/>
    <w:multiLevelType w:val="hybridMultilevel"/>
    <w:tmpl w:val="83967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401A5"/>
    <w:multiLevelType w:val="hybridMultilevel"/>
    <w:tmpl w:val="91D2A940"/>
    <w:lvl w:ilvl="0" w:tplc="67245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03060"/>
    <w:multiLevelType w:val="hybridMultilevel"/>
    <w:tmpl w:val="D07CAF4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16"/>
  </w:num>
  <w:num w:numId="9">
    <w:abstractNumId w:val="15"/>
  </w:num>
  <w:num w:numId="10">
    <w:abstractNumId w:val="10"/>
  </w:num>
  <w:num w:numId="11">
    <w:abstractNumId w:val="17"/>
  </w:num>
  <w:num w:numId="12">
    <w:abstractNumId w:val="14"/>
  </w:num>
  <w:num w:numId="13">
    <w:abstractNumId w:val="6"/>
  </w:num>
  <w:num w:numId="14">
    <w:abstractNumId w:val="9"/>
  </w:num>
  <w:num w:numId="15">
    <w:abstractNumId w:val="12"/>
  </w:num>
  <w:num w:numId="16">
    <w:abstractNumId w:val="3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DA"/>
    <w:rsid w:val="000022C1"/>
    <w:rsid w:val="0000358F"/>
    <w:rsid w:val="00014E32"/>
    <w:rsid w:val="00047A62"/>
    <w:rsid w:val="00062CC9"/>
    <w:rsid w:val="0006382C"/>
    <w:rsid w:val="00064797"/>
    <w:rsid w:val="00066C9D"/>
    <w:rsid w:val="0006753F"/>
    <w:rsid w:val="00075379"/>
    <w:rsid w:val="00080C3E"/>
    <w:rsid w:val="00081949"/>
    <w:rsid w:val="00087FBA"/>
    <w:rsid w:val="000A7AF6"/>
    <w:rsid w:val="000C50D4"/>
    <w:rsid w:val="000D2057"/>
    <w:rsid w:val="000E20FF"/>
    <w:rsid w:val="000E3271"/>
    <w:rsid w:val="000E32DD"/>
    <w:rsid w:val="000E59D8"/>
    <w:rsid w:val="001162FB"/>
    <w:rsid w:val="0015684D"/>
    <w:rsid w:val="00162F4A"/>
    <w:rsid w:val="00170D17"/>
    <w:rsid w:val="001753DA"/>
    <w:rsid w:val="00184E8E"/>
    <w:rsid w:val="001B44EB"/>
    <w:rsid w:val="001D4C11"/>
    <w:rsid w:val="002003B1"/>
    <w:rsid w:val="0020617E"/>
    <w:rsid w:val="00207F0B"/>
    <w:rsid w:val="00220323"/>
    <w:rsid w:val="0024245C"/>
    <w:rsid w:val="00245D89"/>
    <w:rsid w:val="00270E6F"/>
    <w:rsid w:val="00295B7E"/>
    <w:rsid w:val="002970DE"/>
    <w:rsid w:val="002D1FAE"/>
    <w:rsid w:val="002D5427"/>
    <w:rsid w:val="002E7734"/>
    <w:rsid w:val="0032251F"/>
    <w:rsid w:val="00334A4F"/>
    <w:rsid w:val="00341066"/>
    <w:rsid w:val="00383063"/>
    <w:rsid w:val="003832A0"/>
    <w:rsid w:val="0039570B"/>
    <w:rsid w:val="003A379D"/>
    <w:rsid w:val="003B1C4D"/>
    <w:rsid w:val="003C16FE"/>
    <w:rsid w:val="003D3C2D"/>
    <w:rsid w:val="003E4FC0"/>
    <w:rsid w:val="00401E21"/>
    <w:rsid w:val="004049E8"/>
    <w:rsid w:val="00406A39"/>
    <w:rsid w:val="00415381"/>
    <w:rsid w:val="00447CDF"/>
    <w:rsid w:val="00450BCB"/>
    <w:rsid w:val="00450DC9"/>
    <w:rsid w:val="004511C1"/>
    <w:rsid w:val="00473E3C"/>
    <w:rsid w:val="00492115"/>
    <w:rsid w:val="0049226F"/>
    <w:rsid w:val="004A2E21"/>
    <w:rsid w:val="004A4842"/>
    <w:rsid w:val="004B1815"/>
    <w:rsid w:val="004B6968"/>
    <w:rsid w:val="004F5E49"/>
    <w:rsid w:val="00516B93"/>
    <w:rsid w:val="00524FA7"/>
    <w:rsid w:val="00533FA1"/>
    <w:rsid w:val="00536ED9"/>
    <w:rsid w:val="005602E5"/>
    <w:rsid w:val="005672A0"/>
    <w:rsid w:val="005726BB"/>
    <w:rsid w:val="005C3DE1"/>
    <w:rsid w:val="005C6A27"/>
    <w:rsid w:val="006062E2"/>
    <w:rsid w:val="00630590"/>
    <w:rsid w:val="00636C92"/>
    <w:rsid w:val="006558DE"/>
    <w:rsid w:val="00667091"/>
    <w:rsid w:val="00687A5F"/>
    <w:rsid w:val="006904E2"/>
    <w:rsid w:val="00695827"/>
    <w:rsid w:val="00696870"/>
    <w:rsid w:val="006A56B1"/>
    <w:rsid w:val="006B2F8D"/>
    <w:rsid w:val="006E1427"/>
    <w:rsid w:val="006E1D22"/>
    <w:rsid w:val="00705B2C"/>
    <w:rsid w:val="00726EA2"/>
    <w:rsid w:val="0079605A"/>
    <w:rsid w:val="007A62FC"/>
    <w:rsid w:val="007B310F"/>
    <w:rsid w:val="007F260C"/>
    <w:rsid w:val="007F5765"/>
    <w:rsid w:val="0080279C"/>
    <w:rsid w:val="00806C59"/>
    <w:rsid w:val="008234B2"/>
    <w:rsid w:val="00873027"/>
    <w:rsid w:val="00876D01"/>
    <w:rsid w:val="008776BA"/>
    <w:rsid w:val="00885A55"/>
    <w:rsid w:val="00885A69"/>
    <w:rsid w:val="00896944"/>
    <w:rsid w:val="008D6F4E"/>
    <w:rsid w:val="008E1F6C"/>
    <w:rsid w:val="008F5B91"/>
    <w:rsid w:val="008F60AE"/>
    <w:rsid w:val="00912EA5"/>
    <w:rsid w:val="009279FD"/>
    <w:rsid w:val="009315C7"/>
    <w:rsid w:val="00957BBC"/>
    <w:rsid w:val="009876C0"/>
    <w:rsid w:val="00995B1B"/>
    <w:rsid w:val="009A1CBF"/>
    <w:rsid w:val="009A66FD"/>
    <w:rsid w:val="00A218DE"/>
    <w:rsid w:val="00A41067"/>
    <w:rsid w:val="00A466B1"/>
    <w:rsid w:val="00A51E70"/>
    <w:rsid w:val="00A537A2"/>
    <w:rsid w:val="00A70332"/>
    <w:rsid w:val="00A74A8F"/>
    <w:rsid w:val="00A8381D"/>
    <w:rsid w:val="00A9292D"/>
    <w:rsid w:val="00AA2CBB"/>
    <w:rsid w:val="00AA5E3B"/>
    <w:rsid w:val="00AC2042"/>
    <w:rsid w:val="00AC3AF3"/>
    <w:rsid w:val="00AD1500"/>
    <w:rsid w:val="00AD26D2"/>
    <w:rsid w:val="00AD58E7"/>
    <w:rsid w:val="00AF5AF5"/>
    <w:rsid w:val="00B10D4E"/>
    <w:rsid w:val="00B214C8"/>
    <w:rsid w:val="00B33434"/>
    <w:rsid w:val="00B34131"/>
    <w:rsid w:val="00B44BA4"/>
    <w:rsid w:val="00B53CC2"/>
    <w:rsid w:val="00B728FD"/>
    <w:rsid w:val="00B81F3D"/>
    <w:rsid w:val="00BA6A5A"/>
    <w:rsid w:val="00BC50B9"/>
    <w:rsid w:val="00BD2B8B"/>
    <w:rsid w:val="00BD7E6B"/>
    <w:rsid w:val="00BE6900"/>
    <w:rsid w:val="00BF129E"/>
    <w:rsid w:val="00C100B9"/>
    <w:rsid w:val="00C4234F"/>
    <w:rsid w:val="00C54A7D"/>
    <w:rsid w:val="00C71C8E"/>
    <w:rsid w:val="00C74C62"/>
    <w:rsid w:val="00CA5267"/>
    <w:rsid w:val="00CA6DBC"/>
    <w:rsid w:val="00CA781F"/>
    <w:rsid w:val="00CF2E47"/>
    <w:rsid w:val="00D14739"/>
    <w:rsid w:val="00D15111"/>
    <w:rsid w:val="00D30D20"/>
    <w:rsid w:val="00D31021"/>
    <w:rsid w:val="00D34624"/>
    <w:rsid w:val="00D54D14"/>
    <w:rsid w:val="00D61042"/>
    <w:rsid w:val="00D66CD1"/>
    <w:rsid w:val="00D86E31"/>
    <w:rsid w:val="00D93BC4"/>
    <w:rsid w:val="00DA1277"/>
    <w:rsid w:val="00DB43C8"/>
    <w:rsid w:val="00DE10CA"/>
    <w:rsid w:val="00DF6CF5"/>
    <w:rsid w:val="00E24B71"/>
    <w:rsid w:val="00E405CD"/>
    <w:rsid w:val="00E644A0"/>
    <w:rsid w:val="00E93845"/>
    <w:rsid w:val="00E95CD5"/>
    <w:rsid w:val="00EB7D1C"/>
    <w:rsid w:val="00EC0503"/>
    <w:rsid w:val="00EC1916"/>
    <w:rsid w:val="00EE7605"/>
    <w:rsid w:val="00F2322F"/>
    <w:rsid w:val="00F31881"/>
    <w:rsid w:val="00F35BD2"/>
    <w:rsid w:val="00F527A1"/>
    <w:rsid w:val="00F552CE"/>
    <w:rsid w:val="00F62904"/>
    <w:rsid w:val="00F82F82"/>
    <w:rsid w:val="00FB7681"/>
    <w:rsid w:val="00FE13C4"/>
    <w:rsid w:val="00FE3B5E"/>
    <w:rsid w:val="00FE3D3B"/>
    <w:rsid w:val="00FF7F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A267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Times New Roman"/>
        <w:sz w:val="14"/>
        <w:szCs w:val="14"/>
        <w:vertAlign w:val="superscript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53DA"/>
    <w:pPr>
      <w:spacing w:line="276" w:lineRule="auto"/>
    </w:pPr>
    <w:rPr>
      <w:rFonts w:asciiTheme="minorHAnsi" w:eastAsiaTheme="minorHAnsi" w:hAnsiTheme="minorHAnsi" w:cstheme="minorBidi"/>
      <w:sz w:val="22"/>
      <w:szCs w:val="22"/>
      <w:vertAlign w:val="baseline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8D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8DE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1753DA"/>
    <w:pPr>
      <w:ind w:left="720"/>
      <w:contextualSpacing/>
    </w:pPr>
  </w:style>
  <w:style w:type="paragraph" w:customStyle="1" w:styleId="Corpodel">
    <w:name w:val="Corpo del"/>
    <w:basedOn w:val="Normale"/>
    <w:uiPriority w:val="99"/>
    <w:rsid w:val="001753DA"/>
    <w:pPr>
      <w:overflowPunct w:val="0"/>
      <w:autoSpaceDE w:val="0"/>
      <w:autoSpaceDN w:val="0"/>
      <w:adjustRightInd w:val="0"/>
      <w:spacing w:after="0" w:line="567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testo">
    <w:name w:val="corpo testo"/>
    <w:uiPriority w:val="99"/>
    <w:rsid w:val="001753DA"/>
    <w:pPr>
      <w:spacing w:before="120" w:after="0" w:line="360" w:lineRule="auto"/>
      <w:ind w:firstLine="567"/>
      <w:jc w:val="both"/>
    </w:pPr>
    <w:rPr>
      <w:rFonts w:ascii="Palatino" w:eastAsia="Times New Roman" w:hAnsi="Palatino"/>
      <w:sz w:val="22"/>
      <w:szCs w:val="20"/>
      <w:vertAlign w:val="baseline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67091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67091"/>
    <w:rPr>
      <w:rFonts w:asciiTheme="minorHAnsi" w:hAnsiTheme="minorHAnsi" w:cstheme="minorBidi"/>
      <w:sz w:val="24"/>
      <w:szCs w:val="24"/>
      <w:vertAlign w:val="baseline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667091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66709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67091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D3C2D"/>
    <w:pPr>
      <w:spacing w:after="0" w:line="240" w:lineRule="auto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D3C2D"/>
    <w:rPr>
      <w:rFonts w:asciiTheme="minorHAnsi" w:eastAsiaTheme="minorHAnsi" w:hAnsiTheme="minorHAnsi" w:cstheme="minorBidi"/>
      <w:sz w:val="24"/>
      <w:szCs w:val="24"/>
      <w:vertAlign w:val="baseline"/>
      <w:lang w:eastAsia="en-US"/>
    </w:rPr>
  </w:style>
  <w:style w:type="paragraph" w:customStyle="1" w:styleId="Predefinito">
    <w:name w:val="Predefinito"/>
    <w:rsid w:val="00A537A2"/>
    <w:pPr>
      <w:widowControl w:val="0"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/>
      <w:sz w:val="20"/>
      <w:szCs w:val="20"/>
      <w:vertAlign w:val="baseline"/>
      <w:lang w:eastAsia="ar-SA"/>
    </w:rPr>
  </w:style>
  <w:style w:type="character" w:styleId="CitazioneHTML">
    <w:name w:val="HTML Cite"/>
    <w:basedOn w:val="Carpredefinitoparagrafo"/>
    <w:uiPriority w:val="99"/>
    <w:semiHidden/>
    <w:unhideWhenUsed/>
    <w:rsid w:val="00A466B1"/>
    <w:rPr>
      <w:i/>
      <w:iCs/>
    </w:rPr>
  </w:style>
  <w:style w:type="character" w:styleId="Enfasicorsivo">
    <w:name w:val="Emphasis"/>
    <w:basedOn w:val="Carpredefinitoparagrafo"/>
    <w:uiPriority w:val="20"/>
    <w:qFormat/>
    <w:rsid w:val="00A466B1"/>
    <w:rPr>
      <w:i/>
      <w:iCs/>
    </w:rPr>
  </w:style>
  <w:style w:type="table" w:customStyle="1" w:styleId="TableNormal">
    <w:name w:val="Table Normal"/>
    <w:rsid w:val="00B728FD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/>
      <w:sz w:val="20"/>
      <w:szCs w:val="20"/>
      <w:bdr w:val="nil"/>
      <w:vertAlign w:val="baseline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2A">
    <w:name w:val="Table Style 2 A"/>
    <w:rsid w:val="00B728FD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 Neue Light" w:eastAsia="Arial Unicode MS" w:hAnsi="Arial Unicode MS" w:cs="Arial Unicode MS"/>
      <w:color w:val="000000"/>
      <w:sz w:val="20"/>
      <w:szCs w:val="20"/>
      <w:u w:color="000000"/>
      <w:bdr w:val="nil"/>
      <w:vertAlign w:val="baseline"/>
      <w:lang w:eastAsia="it-IT"/>
    </w:rPr>
  </w:style>
  <w:style w:type="paragraph" w:customStyle="1" w:styleId="Body2">
    <w:name w:val="Body 2"/>
    <w:rsid w:val="002003B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000"/>
      </w:tabs>
      <w:spacing w:after="0" w:line="312" w:lineRule="auto"/>
    </w:pPr>
    <w:rPr>
      <w:rFonts w:ascii="Helvetica Neue Medium" w:eastAsia="Arial Unicode MS" w:hAnsi="Arial Unicode MS" w:cs="Arial Unicode MS"/>
      <w:color w:val="222222"/>
      <w:sz w:val="20"/>
      <w:szCs w:val="20"/>
      <w:u w:color="222222"/>
      <w:bdr w:val="nil"/>
      <w:vertAlign w:val="baseline"/>
      <w:lang w:eastAsia="it-IT"/>
    </w:rPr>
  </w:style>
  <w:style w:type="table" w:styleId="Grigliatabella">
    <w:name w:val="Table Grid"/>
    <w:basedOn w:val="Tabellanormale"/>
    <w:uiPriority w:val="59"/>
    <w:rsid w:val="002003B1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/>
      <w:sz w:val="20"/>
      <w:szCs w:val="20"/>
      <w:bdr w:val="nil"/>
      <w:vertAlign w:val="baseline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e"/>
    <w:rsid w:val="004049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2E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eb.infn.it/CUG/images/alfresco/Ptap/20150331_del_cd_13635.pdf" TargetMode="External"/><Relationship Id="rId12" Type="http://schemas.openxmlformats.org/officeDocument/2006/relationships/hyperlink" Target="https://web.infn.it/CUG/images/alfresco/Consigliera/2014BenessereOrganizzativo.pdf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1984</Words>
  <Characters>11312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 - Amministrazione Centrale</Company>
  <LinksUpToDate>false</LinksUpToDate>
  <CharactersWithSpaces>13270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Palmiotti</dc:creator>
  <cp:keywords/>
  <dc:description/>
  <cp:lastModifiedBy>081676143</cp:lastModifiedBy>
  <cp:revision>2</cp:revision>
  <dcterms:created xsi:type="dcterms:W3CDTF">2016-06-13T08:44:00Z</dcterms:created>
  <dcterms:modified xsi:type="dcterms:W3CDTF">2016-06-13T08:44:00Z</dcterms:modified>
</cp:coreProperties>
</file>